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5uy3664znc1n" w:id="0"/>
      <w:bookmarkEnd w:id="0"/>
      <w:r w:rsidDel="00000000" w:rsidR="00000000" w:rsidRPr="00000000">
        <w:rPr>
          <w:b w:val="1"/>
          <w:bCs w:val="1"/>
          <w:sz w:val="46"/>
          <w:szCs w:val="46"/>
          <w:rtl w:val="0"/>
        </w:rPr>
        <w:t xml:space="preserve">**Regulatory Abdication and Racialised Risk in Professional Discipline:</w:t>
      </w:r>
    </w:p>
    <w:p w:rsidR="00000000" w:rsidDel="00000000" w:rsidP="00000000" w:rsidRDefault="00000000" w:rsidRPr="00000000" w14:paraId="00000002">
      <w:pPr>
        <w:spacing w:after="240" w:before="240" w:lineRule="auto"/>
        <w:rPr/>
      </w:pPr>
      <w:r w:rsidDel="00000000" w:rsidR="00000000" w:rsidRPr="00000000">
        <w:rPr>
          <w:rtl w:val="0"/>
        </w:rPr>
        <w:t xml:space="preserve">A Doctrinal Analysis of the SRA’s Decision in Case RGC‑000175478**</w:t>
      </w:r>
    </w:p>
    <w:p w:rsidR="00000000" w:rsidDel="00000000" w:rsidP="00000000" w:rsidRDefault="00000000" w:rsidRPr="00000000" w14:paraId="00000003">
      <w:pPr>
        <w:pStyle w:val="Heading2"/>
        <w:keepNext w:val="0"/>
        <w:keepLines w:val="0"/>
        <w:spacing w:after="80" w:lineRule="auto"/>
        <w:rPr>
          <w:b w:val="1"/>
          <w:bCs w:val="1"/>
          <w:sz w:val="34"/>
          <w:szCs w:val="34"/>
        </w:rPr>
      </w:pPr>
      <w:bookmarkStart w:colFirst="0" w:colLast="0" w:name="_i3vss2d3yapz" w:id="1"/>
      <w:bookmarkEnd w:id="1"/>
      <w:r w:rsidDel="00000000" w:rsidR="00000000" w:rsidRPr="00000000">
        <w:rPr>
          <w:b w:val="1"/>
          <w:bCs w:val="1"/>
          <w:sz w:val="34"/>
          <w:szCs w:val="34"/>
          <w:rtl w:val="0"/>
        </w:rPr>
        <w:t xml:space="preserve">Abstract</w:t>
      </w:r>
    </w:p>
    <w:p w:rsidR="00000000" w:rsidDel="00000000" w:rsidP="00000000" w:rsidRDefault="00000000" w:rsidRPr="00000000" w14:paraId="00000004">
      <w:pPr>
        <w:spacing w:after="240" w:before="240" w:lineRule="auto"/>
        <w:rPr>
          <w:sz w:val="24"/>
          <w:szCs w:val="24"/>
        </w:rPr>
      </w:pPr>
      <w:r w:rsidDel="00000000" w:rsidR="00000000" w:rsidRPr="00000000">
        <w:rPr>
          <w:sz w:val="24"/>
          <w:szCs w:val="24"/>
          <w:rtl w:val="0"/>
        </w:rPr>
        <w:t xml:space="preserve">This article examines the Solicitors Regulation Authority’s (SRA) “Decision Not to Investigate” in Case RGC‑000175478 concerning Mewies Solicitors Limited. Through doctrinal analysis, administrative‑law principles, and socio‑legal scholarship on racialised risk, the article argues that the SRA’s reasoning reflects a pattern of </w:t>
      </w:r>
      <w:r w:rsidDel="00000000" w:rsidR="00000000" w:rsidRPr="00000000">
        <w:rPr>
          <w:b w:val="1"/>
          <w:bCs w:val="1"/>
          <w:sz w:val="24"/>
          <w:szCs w:val="24"/>
          <w:rtl w:val="0"/>
        </w:rPr>
        <w:t xml:space="preserve">regulatory abdication</w:t>
      </w:r>
      <w:r w:rsidDel="00000000" w:rsidR="00000000" w:rsidRPr="00000000">
        <w:rPr>
          <w:sz w:val="24"/>
          <w:szCs w:val="24"/>
          <w:rtl w:val="0"/>
        </w:rPr>
        <w:t xml:space="preserve">. The decision misapplies the SRA Principles, mischaracterises evidence, and relies on circular logic that uses the absence of evidence—created by the SRA’s own refusal to investigate—as justification for inaction. The article further argues that the SRA’s approach creates </w:t>
      </w:r>
      <w:r w:rsidDel="00000000" w:rsidR="00000000" w:rsidRPr="00000000">
        <w:rPr>
          <w:b w:val="1"/>
          <w:bCs w:val="1"/>
          <w:sz w:val="24"/>
          <w:szCs w:val="24"/>
          <w:rtl w:val="0"/>
        </w:rPr>
        <w:t xml:space="preserve">structural racialised risk</w:t>
      </w:r>
      <w:r w:rsidDel="00000000" w:rsidR="00000000" w:rsidRPr="00000000">
        <w:rPr>
          <w:sz w:val="24"/>
          <w:szCs w:val="24"/>
          <w:rtl w:val="0"/>
        </w:rPr>
        <w:t xml:space="preserve">, particularly where complainants are Black or otherwise minoritised, and where access‑to‑justice barriers intersect with regulatory deference to institutional actors.</w:t>
      </w:r>
    </w:p>
    <w:p w:rsidR="00000000" w:rsidDel="00000000" w:rsidP="00000000" w:rsidRDefault="00000000" w:rsidRPr="00000000" w14:paraId="00000005">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keepNext w:val="0"/>
        <w:keepLines w:val="0"/>
        <w:spacing w:before="480" w:lineRule="auto"/>
        <w:rPr>
          <w:b w:val="1"/>
          <w:bCs w:val="1"/>
          <w:sz w:val="48"/>
          <w:szCs w:val="48"/>
        </w:rPr>
      </w:pPr>
      <w:bookmarkStart w:colFirst="0" w:colLast="0" w:name="_6c4m4okejeu0" w:id="2"/>
      <w:bookmarkEnd w:id="2"/>
      <w:r w:rsidDel="00000000" w:rsidR="00000000" w:rsidRPr="00000000">
        <w:rPr>
          <w:b w:val="1"/>
          <w:bCs w:val="1"/>
          <w:sz w:val="48"/>
          <w:szCs w:val="48"/>
          <w:rtl w:val="0"/>
        </w:rPr>
        <w:t xml:space="preserve">1. Introduction</w:t>
      </w:r>
    </w:p>
    <w:p w:rsidR="00000000" w:rsidDel="00000000" w:rsidP="00000000" w:rsidRDefault="00000000" w:rsidRPr="00000000" w14:paraId="00000007">
      <w:pPr>
        <w:spacing w:after="240" w:before="240" w:lineRule="auto"/>
        <w:rPr>
          <w:sz w:val="24"/>
          <w:szCs w:val="24"/>
        </w:rPr>
      </w:pPr>
      <w:r w:rsidDel="00000000" w:rsidR="00000000" w:rsidRPr="00000000">
        <w:rPr>
          <w:sz w:val="24"/>
          <w:szCs w:val="24"/>
          <w:rtl w:val="0"/>
        </w:rPr>
        <w:t xml:space="preserve">Professional regulators occupy a hybrid position in the legal system: they are neither courts nor mere administrative bodies, but institutions charged with safeguarding the rule of law, public trust, and the integrity of legal services. Their decisions must therefore be </w:t>
      </w:r>
      <w:r w:rsidDel="00000000" w:rsidR="00000000" w:rsidRPr="00000000">
        <w:rPr>
          <w:b w:val="1"/>
          <w:bCs w:val="1"/>
          <w:sz w:val="24"/>
          <w:szCs w:val="24"/>
          <w:rtl w:val="0"/>
        </w:rPr>
        <w:t xml:space="preserve">rational</w:t>
      </w:r>
      <w:r w:rsidDel="00000000" w:rsidR="00000000" w:rsidRPr="00000000">
        <w:rPr>
          <w:sz w:val="24"/>
          <w:szCs w:val="24"/>
          <w:rtl w:val="0"/>
        </w:rPr>
        <w:t xml:space="preserve">, </w:t>
      </w:r>
      <w:r w:rsidDel="00000000" w:rsidR="00000000" w:rsidRPr="00000000">
        <w:rPr>
          <w:b w:val="1"/>
          <w:bCs w:val="1"/>
          <w:sz w:val="24"/>
          <w:szCs w:val="24"/>
          <w:rtl w:val="0"/>
        </w:rPr>
        <w:t xml:space="preserve">evidence‑based</w:t>
      </w:r>
      <w:r w:rsidDel="00000000" w:rsidR="00000000" w:rsidRPr="00000000">
        <w:rPr>
          <w:sz w:val="24"/>
          <w:szCs w:val="24"/>
          <w:rtl w:val="0"/>
        </w:rPr>
        <w:t xml:space="preserve">, and </w:t>
      </w:r>
      <w:r w:rsidDel="00000000" w:rsidR="00000000" w:rsidRPr="00000000">
        <w:rPr>
          <w:b w:val="1"/>
          <w:bCs w:val="1"/>
          <w:sz w:val="24"/>
          <w:szCs w:val="24"/>
          <w:rtl w:val="0"/>
        </w:rPr>
        <w:t xml:space="preserve">consistent with their own regulatory framework</w:t>
      </w:r>
      <w:r w:rsidDel="00000000" w:rsidR="00000000" w:rsidRPr="00000000">
        <w:rPr>
          <w:sz w:val="24"/>
          <w:szCs w:val="24"/>
          <w:rtl w:val="0"/>
        </w:rPr>
        <w:t xml:space="preserve">.</w:t>
      </w:r>
    </w:p>
    <w:p w:rsidR="00000000" w:rsidDel="00000000" w:rsidP="00000000" w:rsidRDefault="00000000" w:rsidRPr="00000000" w14:paraId="00000008">
      <w:pPr>
        <w:spacing w:after="240" w:before="240" w:lineRule="auto"/>
        <w:rPr>
          <w:sz w:val="24"/>
          <w:szCs w:val="24"/>
        </w:rPr>
      </w:pPr>
      <w:r w:rsidDel="00000000" w:rsidR="00000000" w:rsidRPr="00000000">
        <w:rPr>
          <w:sz w:val="24"/>
          <w:szCs w:val="24"/>
          <w:rtl w:val="0"/>
        </w:rPr>
        <w:t xml:space="preserve">The SRA’s decision in Case RGC‑000175478—declining to investigate allegations of lack of standing, non‑disclosure of authority documents, and misrepresentation to HM Land Registry—raises significant doctrinal concerns. The decision contains a </w:t>
      </w:r>
      <w:r w:rsidDel="00000000" w:rsidR="00000000" w:rsidRPr="00000000">
        <w:rPr>
          <w:b w:val="1"/>
          <w:bCs w:val="1"/>
          <w:sz w:val="24"/>
          <w:szCs w:val="24"/>
          <w:rtl w:val="0"/>
        </w:rPr>
        <w:t xml:space="preserve">chronological impossibility</w:t>
      </w:r>
      <w:r w:rsidDel="00000000" w:rsidR="00000000" w:rsidRPr="00000000">
        <w:rPr>
          <w:sz w:val="24"/>
          <w:szCs w:val="24"/>
          <w:rtl w:val="0"/>
        </w:rPr>
        <w:t xml:space="preserve">, misapplies the SRA Principles, and relies on a circular evidential logic inconsistent with the SRA’s Enforcement Strategy and Assessment Threshold Test.</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This article provides a doctrinal critique of the decision and situates it within broader concerns about </w:t>
      </w:r>
      <w:r w:rsidDel="00000000" w:rsidR="00000000" w:rsidRPr="00000000">
        <w:rPr>
          <w:b w:val="1"/>
          <w:bCs w:val="1"/>
          <w:sz w:val="24"/>
          <w:szCs w:val="24"/>
          <w:rtl w:val="0"/>
        </w:rPr>
        <w:t xml:space="preserve">racialised structural risk</w:t>
      </w:r>
      <w:r w:rsidDel="00000000" w:rsidR="00000000" w:rsidRPr="00000000">
        <w:rPr>
          <w:sz w:val="24"/>
          <w:szCs w:val="24"/>
          <w:rtl w:val="0"/>
        </w:rPr>
        <w:t xml:space="preserve"> in professional discipline.</w:t>
      </w:r>
    </w:p>
    <w:p w:rsidR="00000000" w:rsidDel="00000000" w:rsidP="00000000" w:rsidRDefault="00000000" w:rsidRPr="00000000" w14:paraId="0000000A">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1"/>
        <w:keepNext w:val="0"/>
        <w:keepLines w:val="0"/>
        <w:spacing w:before="480" w:lineRule="auto"/>
        <w:rPr>
          <w:b w:val="1"/>
          <w:bCs w:val="1"/>
          <w:sz w:val="48"/>
          <w:szCs w:val="48"/>
        </w:rPr>
      </w:pPr>
      <w:bookmarkStart w:colFirst="0" w:colLast="0" w:name="_1q1nwrtde5iu" w:id="3"/>
      <w:bookmarkEnd w:id="3"/>
      <w:r w:rsidDel="00000000" w:rsidR="00000000" w:rsidRPr="00000000">
        <w:rPr>
          <w:b w:val="1"/>
          <w:bCs w:val="1"/>
          <w:sz w:val="48"/>
          <w:szCs w:val="48"/>
          <w:rtl w:val="0"/>
        </w:rPr>
        <w:t xml:space="preserve">2. Procedural Reliability and the Chronological Defect</w:t>
      </w:r>
    </w:p>
    <w:p w:rsidR="00000000" w:rsidDel="00000000" w:rsidP="00000000" w:rsidRDefault="00000000" w:rsidRPr="00000000" w14:paraId="0000000C">
      <w:pPr>
        <w:spacing w:after="240" w:before="240" w:lineRule="auto"/>
        <w:rPr>
          <w:sz w:val="24"/>
          <w:szCs w:val="24"/>
        </w:rPr>
      </w:pPr>
      <w:r w:rsidDel="00000000" w:rsidR="00000000" w:rsidRPr="00000000">
        <w:rPr>
          <w:sz w:val="24"/>
          <w:szCs w:val="24"/>
          <w:rtl w:val="0"/>
        </w:rPr>
        <w:t xml:space="preserve">The SRA’s decision states:</w:t>
      </w:r>
    </w:p>
    <w:p w:rsidR="00000000" w:rsidDel="00000000" w:rsidP="00000000" w:rsidRDefault="00000000" w:rsidRPr="00000000" w14:paraId="0000000D">
      <w:pPr>
        <w:spacing w:after="240" w:before="240" w:lineRule="auto"/>
        <w:ind w:left="600" w:right="600" w:firstLine="0"/>
        <w:rPr>
          <w:sz w:val="24"/>
          <w:szCs w:val="24"/>
        </w:rPr>
      </w:pPr>
      <w:r w:rsidDel="00000000" w:rsidR="00000000" w:rsidRPr="00000000">
        <w:rPr>
          <w:sz w:val="24"/>
          <w:szCs w:val="24"/>
          <w:rtl w:val="0"/>
        </w:rPr>
        <w:t xml:space="preserve">“On 13 November 2026, we received a report from George Nomen…”</w:t>
      </w:r>
    </w:p>
    <w:p w:rsidR="00000000" w:rsidDel="00000000" w:rsidP="00000000" w:rsidRDefault="00000000" w:rsidRPr="00000000" w14:paraId="0000000E">
      <w:pPr>
        <w:spacing w:after="240" w:before="240" w:lineRule="auto"/>
        <w:rPr>
          <w:sz w:val="24"/>
          <w:szCs w:val="24"/>
        </w:rPr>
      </w:pPr>
      <w:r w:rsidDel="00000000" w:rsidR="00000000" w:rsidRPr="00000000">
        <w:rPr>
          <w:sz w:val="24"/>
          <w:szCs w:val="24"/>
          <w:rtl w:val="0"/>
        </w:rPr>
        <w:t xml:space="preserve">yet the decision is dated:</w:t>
      </w:r>
    </w:p>
    <w:p w:rsidR="00000000" w:rsidDel="00000000" w:rsidP="00000000" w:rsidRDefault="00000000" w:rsidRPr="00000000" w14:paraId="0000000F">
      <w:pPr>
        <w:spacing w:after="240" w:before="240" w:lineRule="auto"/>
        <w:ind w:left="600" w:right="600" w:firstLine="0"/>
        <w:rPr>
          <w:b w:val="1"/>
          <w:bCs w:val="1"/>
          <w:sz w:val="24"/>
          <w:szCs w:val="24"/>
        </w:rPr>
      </w:pPr>
      <w:r w:rsidDel="00000000" w:rsidR="00000000" w:rsidRPr="00000000">
        <w:rPr>
          <w:b w:val="1"/>
          <w:bCs w:val="1"/>
          <w:sz w:val="24"/>
          <w:szCs w:val="24"/>
          <w:rtl w:val="0"/>
        </w:rPr>
        <w:t xml:space="preserve">18 February 2026</w:t>
      </w:r>
    </w:p>
    <w:p w:rsidR="00000000" w:rsidDel="00000000" w:rsidP="00000000" w:rsidRDefault="00000000" w:rsidRPr="00000000" w14:paraId="00000010">
      <w:pPr>
        <w:spacing w:after="240" w:before="240" w:lineRule="auto"/>
        <w:rPr>
          <w:sz w:val="24"/>
          <w:szCs w:val="24"/>
        </w:rPr>
      </w:pPr>
      <w:r w:rsidDel="00000000" w:rsidR="00000000" w:rsidRPr="00000000">
        <w:rPr>
          <w:sz w:val="24"/>
          <w:szCs w:val="24"/>
          <w:rtl w:val="0"/>
        </w:rPr>
        <w:t xml:space="preserve">This chronological impossibility is not a trivial clerical error. In administrative law, a decision that cannot place the originating complaint in time raises concerns about </w:t>
      </w:r>
      <w:r w:rsidDel="00000000" w:rsidR="00000000" w:rsidRPr="00000000">
        <w:rPr>
          <w:b w:val="1"/>
          <w:bCs w:val="1"/>
          <w:sz w:val="24"/>
          <w:szCs w:val="24"/>
          <w:rtl w:val="0"/>
        </w:rPr>
        <w:t xml:space="preserve">procedural propriety</w:t>
      </w:r>
      <w:r w:rsidDel="00000000" w:rsidR="00000000" w:rsidRPr="00000000">
        <w:rPr>
          <w:sz w:val="24"/>
          <w:szCs w:val="24"/>
          <w:rtl w:val="0"/>
        </w:rPr>
        <w:t xml:space="preserve"> and </w:t>
      </w:r>
      <w:r w:rsidDel="00000000" w:rsidR="00000000" w:rsidRPr="00000000">
        <w:rPr>
          <w:b w:val="1"/>
          <w:bCs w:val="1"/>
          <w:sz w:val="24"/>
          <w:szCs w:val="24"/>
          <w:rtl w:val="0"/>
        </w:rPr>
        <w:t xml:space="preserve">rationality</w:t>
      </w:r>
      <w:r w:rsidDel="00000000" w:rsidR="00000000" w:rsidRPr="00000000">
        <w:rPr>
          <w:sz w:val="24"/>
          <w:szCs w:val="24"/>
          <w:rtl w:val="0"/>
        </w:rPr>
        <w:t xml:space="preserve"> under the </w:t>
      </w:r>
      <w:r w:rsidDel="00000000" w:rsidR="00000000" w:rsidRPr="00000000">
        <w:rPr>
          <w:i w:val="1"/>
          <w:iCs w:val="1"/>
          <w:sz w:val="24"/>
          <w:szCs w:val="24"/>
          <w:rtl w:val="0"/>
        </w:rPr>
        <w:t xml:space="preserve">Associated Provincial Picture Houses v Wednesbury Corporation</w:t>
      </w:r>
      <w:r w:rsidDel="00000000" w:rsidR="00000000" w:rsidRPr="00000000">
        <w:rPr>
          <w:sz w:val="24"/>
          <w:szCs w:val="24"/>
          <w:rtl w:val="0"/>
        </w:rPr>
        <w:t xml:space="preserve"> standard.[1]</w:t>
      </w:r>
    </w:p>
    <w:p w:rsidR="00000000" w:rsidDel="00000000" w:rsidP="00000000" w:rsidRDefault="00000000" w:rsidRPr="00000000" w14:paraId="00000011">
      <w:pPr>
        <w:spacing w:after="240" w:before="240" w:lineRule="auto"/>
        <w:rPr>
          <w:sz w:val="24"/>
          <w:szCs w:val="24"/>
        </w:rPr>
      </w:pPr>
      <w:r w:rsidDel="00000000" w:rsidR="00000000" w:rsidRPr="00000000">
        <w:rPr>
          <w:sz w:val="24"/>
          <w:szCs w:val="24"/>
          <w:rtl w:val="0"/>
        </w:rPr>
        <w:t xml:space="preserve">A regulator exercising quasi‑judicial functions must demonstrate that it has:</w:t>
      </w:r>
    </w:p>
    <w:p w:rsidR="00000000" w:rsidDel="00000000" w:rsidP="00000000" w:rsidRDefault="00000000" w:rsidRPr="00000000" w14:paraId="00000012">
      <w:pPr>
        <w:numPr>
          <w:ilvl w:val="0"/>
          <w:numId w:val="12"/>
        </w:numPr>
        <w:spacing w:after="0" w:afterAutospacing="0" w:before="240" w:lineRule="auto"/>
        <w:ind w:left="720" w:hanging="360"/>
        <w:rPr>
          <w:sz w:val="24"/>
          <w:szCs w:val="24"/>
        </w:rPr>
      </w:pPr>
      <w:r w:rsidDel="00000000" w:rsidR="00000000" w:rsidRPr="00000000">
        <w:rPr>
          <w:sz w:val="24"/>
          <w:szCs w:val="24"/>
          <w:rtl w:val="0"/>
        </w:rPr>
        <w:t xml:space="preserve">identified the correct complaint;</w:t>
      </w:r>
    </w:p>
    <w:p w:rsidR="00000000" w:rsidDel="00000000" w:rsidP="00000000" w:rsidRDefault="00000000" w:rsidRPr="00000000" w14:paraId="00000013">
      <w:pPr>
        <w:numPr>
          <w:ilvl w:val="0"/>
          <w:numId w:val="12"/>
        </w:numPr>
        <w:spacing w:after="0" w:afterAutospacing="0" w:before="0" w:beforeAutospacing="0" w:lineRule="auto"/>
        <w:ind w:left="720" w:hanging="360"/>
        <w:rPr>
          <w:sz w:val="24"/>
          <w:szCs w:val="24"/>
        </w:rPr>
      </w:pPr>
      <w:r w:rsidDel="00000000" w:rsidR="00000000" w:rsidRPr="00000000">
        <w:rPr>
          <w:sz w:val="24"/>
          <w:szCs w:val="24"/>
          <w:rtl w:val="0"/>
        </w:rPr>
        <w:t xml:space="preserve">reviewed the correct evidence;</w:t>
      </w:r>
    </w:p>
    <w:p w:rsidR="00000000" w:rsidDel="00000000" w:rsidP="00000000" w:rsidRDefault="00000000" w:rsidRPr="00000000" w14:paraId="00000014">
      <w:pPr>
        <w:numPr>
          <w:ilvl w:val="0"/>
          <w:numId w:val="12"/>
        </w:numPr>
        <w:spacing w:after="240" w:before="0" w:beforeAutospacing="0" w:lineRule="auto"/>
        <w:ind w:left="720" w:hanging="360"/>
        <w:rPr>
          <w:sz w:val="24"/>
          <w:szCs w:val="24"/>
        </w:rPr>
      </w:pPr>
      <w:r w:rsidDel="00000000" w:rsidR="00000000" w:rsidRPr="00000000">
        <w:rPr>
          <w:sz w:val="24"/>
          <w:szCs w:val="24"/>
          <w:rtl w:val="0"/>
        </w:rPr>
        <w:t xml:space="preserve">applied its mind to the correct time frame.</w:t>
      </w:r>
    </w:p>
    <w:p w:rsidR="00000000" w:rsidDel="00000000" w:rsidP="00000000" w:rsidRDefault="00000000" w:rsidRPr="00000000" w14:paraId="00000015">
      <w:pPr>
        <w:spacing w:after="240" w:before="240" w:lineRule="auto"/>
        <w:rPr>
          <w:sz w:val="24"/>
          <w:szCs w:val="24"/>
        </w:rPr>
      </w:pPr>
      <w:r w:rsidDel="00000000" w:rsidR="00000000" w:rsidRPr="00000000">
        <w:rPr>
          <w:sz w:val="24"/>
          <w:szCs w:val="24"/>
          <w:rtl w:val="0"/>
        </w:rPr>
        <w:t xml:space="preserve">A decision containing a material factual impossibility cannot satisfy these requirements.</w:t>
      </w:r>
    </w:p>
    <w:p w:rsidR="00000000" w:rsidDel="00000000" w:rsidP="00000000" w:rsidRDefault="00000000" w:rsidRPr="00000000" w14:paraId="00000016">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pStyle w:val="Heading1"/>
        <w:keepNext w:val="0"/>
        <w:keepLines w:val="0"/>
        <w:spacing w:before="480" w:lineRule="auto"/>
        <w:rPr>
          <w:b w:val="1"/>
          <w:bCs w:val="1"/>
          <w:sz w:val="48"/>
          <w:szCs w:val="48"/>
        </w:rPr>
      </w:pPr>
      <w:bookmarkStart w:colFirst="0" w:colLast="0" w:name="_jahnddpsektg" w:id="4"/>
      <w:bookmarkEnd w:id="4"/>
      <w:r w:rsidDel="00000000" w:rsidR="00000000" w:rsidRPr="00000000">
        <w:rPr>
          <w:b w:val="1"/>
          <w:bCs w:val="1"/>
          <w:sz w:val="48"/>
          <w:szCs w:val="48"/>
          <w:rtl w:val="0"/>
        </w:rPr>
        <w:t xml:space="preserve">3. Doctrinal Analysis of Concern 1: Failure to Disclose Legal Authority</w:t>
      </w:r>
    </w:p>
    <w:p w:rsidR="00000000" w:rsidDel="00000000" w:rsidP="00000000" w:rsidRDefault="00000000" w:rsidRPr="00000000" w14:paraId="00000018">
      <w:pPr>
        <w:pStyle w:val="Heading2"/>
        <w:keepNext w:val="0"/>
        <w:keepLines w:val="0"/>
        <w:spacing w:after="80" w:lineRule="auto"/>
        <w:rPr>
          <w:b w:val="1"/>
          <w:bCs w:val="1"/>
          <w:sz w:val="36"/>
          <w:szCs w:val="36"/>
        </w:rPr>
      </w:pPr>
      <w:bookmarkStart w:colFirst="0" w:colLast="0" w:name="_tb90yg9rpzl8" w:id="5"/>
      <w:bookmarkEnd w:id="5"/>
      <w:r w:rsidDel="00000000" w:rsidR="00000000" w:rsidRPr="00000000">
        <w:rPr>
          <w:b w:val="1"/>
          <w:bCs w:val="1"/>
          <w:sz w:val="36"/>
          <w:szCs w:val="36"/>
          <w:rtl w:val="0"/>
        </w:rPr>
        <w:t xml:space="preserve">3.1 Misapplication of Paragraph 1.4 (Misleading Others)</w:t>
      </w:r>
    </w:p>
    <w:p w:rsidR="00000000" w:rsidDel="00000000" w:rsidP="00000000" w:rsidRDefault="00000000" w:rsidRPr="00000000" w14:paraId="00000019">
      <w:pPr>
        <w:spacing w:after="240" w:before="240" w:lineRule="auto"/>
        <w:rPr>
          <w:sz w:val="24"/>
          <w:szCs w:val="24"/>
        </w:rPr>
      </w:pPr>
      <w:r w:rsidDel="00000000" w:rsidR="00000000" w:rsidRPr="00000000">
        <w:rPr>
          <w:sz w:val="24"/>
          <w:szCs w:val="24"/>
          <w:rtl w:val="0"/>
        </w:rPr>
        <w:t xml:space="preserve">The SRA frames the issue as whether there is “conclusive evidence” of </w:t>
      </w:r>
      <w:r w:rsidDel="00000000" w:rsidR="00000000" w:rsidRPr="00000000">
        <w:rPr>
          <w:b w:val="1"/>
          <w:bCs w:val="1"/>
          <w:sz w:val="24"/>
          <w:szCs w:val="24"/>
          <w:rtl w:val="0"/>
        </w:rPr>
        <w:t xml:space="preserve">deliberate</w:t>
      </w:r>
      <w:r w:rsidDel="00000000" w:rsidR="00000000" w:rsidRPr="00000000">
        <w:rPr>
          <w:sz w:val="24"/>
          <w:szCs w:val="24"/>
          <w:rtl w:val="0"/>
        </w:rPr>
        <w:t xml:space="preserve"> withholding “in an attempt to mislead”. This is doctrinally incorrect.</w:t>
      </w:r>
    </w:p>
    <w:p w:rsidR="00000000" w:rsidDel="00000000" w:rsidP="00000000" w:rsidRDefault="00000000" w:rsidRPr="00000000" w14:paraId="0000001A">
      <w:pPr>
        <w:spacing w:after="240" w:before="240" w:lineRule="auto"/>
        <w:rPr>
          <w:sz w:val="24"/>
          <w:szCs w:val="24"/>
        </w:rPr>
      </w:pPr>
      <w:r w:rsidDel="00000000" w:rsidR="00000000" w:rsidRPr="00000000">
        <w:rPr>
          <w:sz w:val="24"/>
          <w:szCs w:val="24"/>
          <w:rtl w:val="0"/>
        </w:rPr>
        <w:t xml:space="preserve">Paragraph 1.4 of the SRA Code of Conduct for Solicitors prohibits:</w:t>
      </w:r>
    </w:p>
    <w:p w:rsidR="00000000" w:rsidDel="00000000" w:rsidP="00000000" w:rsidRDefault="00000000" w:rsidRPr="00000000" w14:paraId="0000001B">
      <w:pPr>
        <w:numPr>
          <w:ilvl w:val="0"/>
          <w:numId w:val="6"/>
        </w:numPr>
        <w:spacing w:after="0" w:afterAutospacing="0" w:before="240" w:lineRule="auto"/>
        <w:ind w:left="720" w:hanging="360"/>
        <w:rPr>
          <w:sz w:val="24"/>
          <w:szCs w:val="24"/>
        </w:rPr>
      </w:pPr>
      <w:r w:rsidDel="00000000" w:rsidR="00000000" w:rsidRPr="00000000">
        <w:rPr>
          <w:sz w:val="24"/>
          <w:szCs w:val="24"/>
          <w:rtl w:val="0"/>
        </w:rPr>
        <w:t xml:space="preserve">misleading conduct,</w:t>
      </w:r>
    </w:p>
    <w:p w:rsidR="00000000" w:rsidDel="00000000" w:rsidP="00000000" w:rsidRDefault="00000000" w:rsidRPr="00000000" w14:paraId="0000001C">
      <w:pPr>
        <w:numPr>
          <w:ilvl w:val="0"/>
          <w:numId w:val="6"/>
        </w:numPr>
        <w:spacing w:after="0" w:afterAutospacing="0" w:before="0" w:beforeAutospacing="0" w:lineRule="auto"/>
        <w:ind w:left="720" w:hanging="360"/>
        <w:rPr>
          <w:sz w:val="24"/>
          <w:szCs w:val="24"/>
        </w:rPr>
      </w:pPr>
      <w:r w:rsidDel="00000000" w:rsidR="00000000" w:rsidRPr="00000000">
        <w:rPr>
          <w:sz w:val="24"/>
          <w:szCs w:val="24"/>
          <w:rtl w:val="0"/>
        </w:rPr>
        <w:t xml:space="preserve">conduct that risks misleading,</w:t>
      </w:r>
    </w:p>
    <w:p w:rsidR="00000000" w:rsidDel="00000000" w:rsidP="00000000" w:rsidRDefault="00000000" w:rsidRPr="00000000" w14:paraId="0000001D">
      <w:pPr>
        <w:numPr>
          <w:ilvl w:val="0"/>
          <w:numId w:val="6"/>
        </w:numPr>
        <w:spacing w:after="0" w:afterAutospacing="0" w:before="0" w:beforeAutospacing="0" w:lineRule="auto"/>
        <w:ind w:left="720" w:hanging="360"/>
        <w:rPr>
          <w:sz w:val="24"/>
          <w:szCs w:val="24"/>
        </w:rPr>
      </w:pPr>
      <w:r w:rsidDel="00000000" w:rsidR="00000000" w:rsidRPr="00000000">
        <w:rPr>
          <w:sz w:val="24"/>
          <w:szCs w:val="24"/>
          <w:rtl w:val="0"/>
        </w:rPr>
        <w:t xml:space="preserve">reckless omissions,</w:t>
      </w:r>
    </w:p>
    <w:p w:rsidR="00000000" w:rsidDel="00000000" w:rsidP="00000000" w:rsidRDefault="00000000" w:rsidRPr="00000000" w14:paraId="0000001E">
      <w:pPr>
        <w:numPr>
          <w:ilvl w:val="0"/>
          <w:numId w:val="6"/>
        </w:numPr>
        <w:spacing w:after="240" w:before="0" w:beforeAutospacing="0" w:lineRule="auto"/>
        <w:ind w:left="720" w:hanging="360"/>
        <w:rPr>
          <w:sz w:val="24"/>
          <w:szCs w:val="24"/>
        </w:rPr>
      </w:pPr>
      <w:r w:rsidDel="00000000" w:rsidR="00000000" w:rsidRPr="00000000">
        <w:rPr>
          <w:sz w:val="24"/>
          <w:szCs w:val="24"/>
          <w:rtl w:val="0"/>
        </w:rPr>
        <w:t xml:space="preserve">careless representations.[2]</w:t>
      </w:r>
    </w:p>
    <w:p w:rsidR="00000000" w:rsidDel="00000000" w:rsidP="00000000" w:rsidRDefault="00000000" w:rsidRPr="00000000" w14:paraId="0000001F">
      <w:pPr>
        <w:spacing w:after="240" w:before="240" w:lineRule="auto"/>
        <w:rPr>
          <w:sz w:val="24"/>
          <w:szCs w:val="24"/>
        </w:rPr>
      </w:pPr>
      <w:r w:rsidDel="00000000" w:rsidR="00000000" w:rsidRPr="00000000">
        <w:rPr>
          <w:sz w:val="24"/>
          <w:szCs w:val="24"/>
          <w:rtl w:val="0"/>
        </w:rPr>
        <w:t xml:space="preserve">The SRA’s focus on intentional deception imports a mens rea requirement that the Code does not contain.</w:t>
      </w:r>
    </w:p>
    <w:p w:rsidR="00000000" w:rsidDel="00000000" w:rsidP="00000000" w:rsidRDefault="00000000" w:rsidRPr="00000000" w14:paraId="00000020">
      <w:pPr>
        <w:pStyle w:val="Heading2"/>
        <w:keepNext w:val="0"/>
        <w:keepLines w:val="0"/>
        <w:spacing w:after="80" w:lineRule="auto"/>
        <w:rPr>
          <w:b w:val="1"/>
          <w:bCs w:val="1"/>
          <w:sz w:val="36"/>
          <w:szCs w:val="36"/>
        </w:rPr>
      </w:pPr>
      <w:bookmarkStart w:colFirst="0" w:colLast="0" w:name="_qk2khav2so8a" w:id="6"/>
      <w:bookmarkEnd w:id="6"/>
      <w:r w:rsidDel="00000000" w:rsidR="00000000" w:rsidRPr="00000000">
        <w:rPr>
          <w:b w:val="1"/>
          <w:bCs w:val="1"/>
          <w:sz w:val="36"/>
          <w:szCs w:val="36"/>
          <w:rtl w:val="0"/>
        </w:rPr>
        <w:t xml:space="preserve">3.2 Evidential Mischaracterisation</w:t>
      </w:r>
    </w:p>
    <w:p w:rsidR="00000000" w:rsidDel="00000000" w:rsidP="00000000" w:rsidRDefault="00000000" w:rsidRPr="00000000" w14:paraId="00000021">
      <w:pPr>
        <w:spacing w:after="240" w:before="240" w:lineRule="auto"/>
        <w:rPr>
          <w:sz w:val="24"/>
          <w:szCs w:val="24"/>
        </w:rPr>
      </w:pPr>
      <w:r w:rsidDel="00000000" w:rsidR="00000000" w:rsidRPr="00000000">
        <w:rPr>
          <w:sz w:val="24"/>
          <w:szCs w:val="24"/>
          <w:rtl w:val="0"/>
        </w:rPr>
        <w:t xml:space="preserve">The SRA accepts the firm’s “unawareness” of the existence of core authority documents as exculpatory. In mortgage litigation, the Deed of Assignment and Power of Attorney are </w:t>
      </w:r>
      <w:r w:rsidDel="00000000" w:rsidR="00000000" w:rsidRPr="00000000">
        <w:rPr>
          <w:b w:val="1"/>
          <w:bCs w:val="1"/>
          <w:sz w:val="24"/>
          <w:szCs w:val="24"/>
          <w:rtl w:val="0"/>
        </w:rPr>
        <w:t xml:space="preserve">foundational instruments of title</w:t>
      </w:r>
      <w:r w:rsidDel="00000000" w:rsidR="00000000" w:rsidRPr="00000000">
        <w:rPr>
          <w:sz w:val="24"/>
          <w:szCs w:val="24"/>
          <w:rtl w:val="0"/>
        </w:rPr>
        <w:t xml:space="preserve">.</w:t>
      </w:r>
    </w:p>
    <w:p w:rsidR="00000000" w:rsidDel="00000000" w:rsidP="00000000" w:rsidRDefault="00000000" w:rsidRPr="00000000" w14:paraId="00000022">
      <w:pPr>
        <w:spacing w:after="240" w:before="240" w:lineRule="auto"/>
        <w:rPr>
          <w:sz w:val="24"/>
          <w:szCs w:val="24"/>
        </w:rPr>
      </w:pPr>
      <w:r w:rsidDel="00000000" w:rsidR="00000000" w:rsidRPr="00000000">
        <w:rPr>
          <w:sz w:val="24"/>
          <w:szCs w:val="24"/>
          <w:rtl w:val="0"/>
        </w:rPr>
        <w:t xml:space="preserve">The transcript records:</w:t>
      </w:r>
    </w:p>
    <w:p w:rsidR="00000000" w:rsidDel="00000000" w:rsidP="00000000" w:rsidRDefault="00000000" w:rsidRPr="00000000" w14:paraId="00000023">
      <w:pPr>
        <w:spacing w:after="240" w:before="240" w:lineRule="auto"/>
        <w:ind w:left="600" w:right="600" w:firstLine="0"/>
        <w:rPr>
          <w:sz w:val="24"/>
          <w:szCs w:val="24"/>
        </w:rPr>
      </w:pPr>
      <w:r w:rsidDel="00000000" w:rsidR="00000000" w:rsidRPr="00000000">
        <w:rPr>
          <w:sz w:val="24"/>
          <w:szCs w:val="24"/>
          <w:rtl w:val="0"/>
        </w:rPr>
        <w:t xml:space="preserve">“The mortgage payments and Deed of Assignment, which is very necessary…” (Transcript, p.8)</w:t>
      </w:r>
    </w:p>
    <w:p w:rsidR="00000000" w:rsidDel="00000000" w:rsidP="00000000" w:rsidRDefault="00000000" w:rsidRPr="00000000" w14:paraId="00000024">
      <w:pPr>
        <w:spacing w:after="240" w:before="240" w:lineRule="auto"/>
        <w:rPr>
          <w:sz w:val="24"/>
          <w:szCs w:val="24"/>
        </w:rPr>
      </w:pPr>
      <w:r w:rsidDel="00000000" w:rsidR="00000000" w:rsidRPr="00000000">
        <w:rPr>
          <w:sz w:val="24"/>
          <w:szCs w:val="24"/>
          <w:rtl w:val="0"/>
        </w:rPr>
        <w:t xml:space="preserve">A firm litigating without knowing whether such documents exist is not in a neutral position; it is in a position of </w:t>
      </w:r>
      <w:r w:rsidDel="00000000" w:rsidR="00000000" w:rsidRPr="00000000">
        <w:rPr>
          <w:b w:val="1"/>
          <w:bCs w:val="1"/>
          <w:sz w:val="24"/>
          <w:szCs w:val="24"/>
          <w:rtl w:val="0"/>
        </w:rPr>
        <w:t xml:space="preserve">potential lack of standing</w:t>
      </w:r>
      <w:r w:rsidDel="00000000" w:rsidR="00000000" w:rsidRPr="00000000">
        <w:rPr>
          <w:sz w:val="24"/>
          <w:szCs w:val="24"/>
          <w:rtl w:val="0"/>
        </w:rPr>
        <w:t xml:space="preserve"> and </w:t>
      </w:r>
      <w:r w:rsidDel="00000000" w:rsidR="00000000" w:rsidRPr="00000000">
        <w:rPr>
          <w:b w:val="1"/>
          <w:bCs w:val="1"/>
          <w:sz w:val="24"/>
          <w:szCs w:val="24"/>
          <w:rtl w:val="0"/>
        </w:rPr>
        <w:t xml:space="preserve">misleading the court by implication</w:t>
      </w:r>
      <w:r w:rsidDel="00000000" w:rsidR="00000000" w:rsidRPr="00000000">
        <w:rPr>
          <w:sz w:val="24"/>
          <w:szCs w:val="24"/>
          <w:rtl w:val="0"/>
        </w:rPr>
        <w:t xml:space="preserve">.</w:t>
      </w:r>
    </w:p>
    <w:p w:rsidR="00000000" w:rsidDel="00000000" w:rsidP="00000000" w:rsidRDefault="00000000" w:rsidRPr="00000000" w14:paraId="00000025">
      <w:pPr>
        <w:pStyle w:val="Heading2"/>
        <w:keepNext w:val="0"/>
        <w:keepLines w:val="0"/>
        <w:spacing w:after="80" w:lineRule="auto"/>
        <w:rPr>
          <w:b w:val="1"/>
          <w:bCs w:val="1"/>
          <w:sz w:val="36"/>
          <w:szCs w:val="36"/>
        </w:rPr>
      </w:pPr>
      <w:bookmarkStart w:colFirst="0" w:colLast="0" w:name="_q64jyyiqazdl" w:id="7"/>
      <w:bookmarkEnd w:id="7"/>
      <w:r w:rsidDel="00000000" w:rsidR="00000000" w:rsidRPr="00000000">
        <w:rPr>
          <w:b w:val="1"/>
          <w:bCs w:val="1"/>
          <w:sz w:val="36"/>
          <w:szCs w:val="36"/>
          <w:rtl w:val="0"/>
        </w:rPr>
        <w:t xml:space="preserve">3.3 Reliance on Court Process Contrary to the Transcript</w:t>
      </w:r>
    </w:p>
    <w:p w:rsidR="00000000" w:rsidDel="00000000" w:rsidP="00000000" w:rsidRDefault="00000000" w:rsidRPr="00000000" w14:paraId="00000026">
      <w:pPr>
        <w:spacing w:after="240" w:before="240" w:lineRule="auto"/>
        <w:rPr>
          <w:sz w:val="24"/>
          <w:szCs w:val="24"/>
        </w:rPr>
      </w:pPr>
      <w:r w:rsidDel="00000000" w:rsidR="00000000" w:rsidRPr="00000000">
        <w:rPr>
          <w:sz w:val="24"/>
          <w:szCs w:val="24"/>
          <w:rtl w:val="0"/>
        </w:rPr>
        <w:t xml:space="preserve">The SRA asserts that the matter could be brought before the court. It was. The court refused disclosure on </w:t>
      </w:r>
      <w:r w:rsidDel="00000000" w:rsidR="00000000" w:rsidRPr="00000000">
        <w:rPr>
          <w:b w:val="1"/>
          <w:bCs w:val="1"/>
          <w:sz w:val="24"/>
          <w:szCs w:val="24"/>
          <w:rtl w:val="0"/>
        </w:rPr>
        <w:t xml:space="preserve">technical CPR 31.16 grounds</w:t>
      </w:r>
      <w:r w:rsidDel="00000000" w:rsidR="00000000" w:rsidRPr="00000000">
        <w:rPr>
          <w:sz w:val="24"/>
          <w:szCs w:val="24"/>
          <w:rtl w:val="0"/>
        </w:rPr>
        <w:t xml:space="preserve">, not on the merits:</w:t>
      </w:r>
    </w:p>
    <w:p w:rsidR="00000000" w:rsidDel="00000000" w:rsidP="00000000" w:rsidRDefault="00000000" w:rsidRPr="00000000" w14:paraId="00000027">
      <w:pPr>
        <w:spacing w:after="240" w:before="240" w:lineRule="auto"/>
        <w:ind w:left="600" w:right="600" w:firstLine="0"/>
        <w:rPr>
          <w:sz w:val="24"/>
          <w:szCs w:val="24"/>
        </w:rPr>
      </w:pPr>
      <w:r w:rsidDel="00000000" w:rsidR="00000000" w:rsidRPr="00000000">
        <w:rPr>
          <w:sz w:val="24"/>
          <w:szCs w:val="24"/>
          <w:rtl w:val="0"/>
        </w:rPr>
        <w:t xml:space="preserve">“It does not follow the CPR… The court is not here to remedy and make applications better…” (Transcript, p.10)</w:t>
      </w:r>
    </w:p>
    <w:p w:rsidR="00000000" w:rsidDel="00000000" w:rsidP="00000000" w:rsidRDefault="00000000" w:rsidRPr="00000000" w14:paraId="00000028">
      <w:pPr>
        <w:spacing w:after="240" w:before="240" w:lineRule="auto"/>
        <w:rPr>
          <w:sz w:val="24"/>
          <w:szCs w:val="24"/>
        </w:rPr>
      </w:pPr>
      <w:r w:rsidDel="00000000" w:rsidR="00000000" w:rsidRPr="00000000">
        <w:rPr>
          <w:sz w:val="24"/>
          <w:szCs w:val="24"/>
          <w:rtl w:val="0"/>
        </w:rPr>
        <w:t xml:space="preserve">Thus:</w:t>
      </w:r>
    </w:p>
    <w:p w:rsidR="00000000" w:rsidDel="00000000" w:rsidP="00000000" w:rsidRDefault="00000000" w:rsidRPr="00000000" w14:paraId="00000029">
      <w:pPr>
        <w:numPr>
          <w:ilvl w:val="0"/>
          <w:numId w:val="3"/>
        </w:numPr>
        <w:spacing w:after="0" w:afterAutospacing="0" w:before="240" w:lineRule="auto"/>
        <w:ind w:left="720" w:hanging="360"/>
        <w:rPr>
          <w:sz w:val="24"/>
          <w:szCs w:val="24"/>
        </w:rPr>
      </w:pPr>
      <w:r w:rsidDel="00000000" w:rsidR="00000000" w:rsidRPr="00000000">
        <w:rPr>
          <w:sz w:val="24"/>
          <w:szCs w:val="24"/>
          <w:rtl w:val="0"/>
        </w:rPr>
        <w:t xml:space="preserve">The court did </w:t>
      </w:r>
      <w:r w:rsidDel="00000000" w:rsidR="00000000" w:rsidRPr="00000000">
        <w:rPr>
          <w:b w:val="1"/>
          <w:bCs w:val="1"/>
          <w:sz w:val="24"/>
          <w:szCs w:val="24"/>
          <w:rtl w:val="0"/>
        </w:rPr>
        <w:t xml:space="preserve">not</w:t>
      </w:r>
      <w:r w:rsidDel="00000000" w:rsidR="00000000" w:rsidRPr="00000000">
        <w:rPr>
          <w:sz w:val="24"/>
          <w:szCs w:val="24"/>
          <w:rtl w:val="0"/>
        </w:rPr>
        <w:t xml:space="preserve"> determine that the firm had authority.</w:t>
      </w:r>
    </w:p>
    <w:p w:rsidR="00000000" w:rsidDel="00000000" w:rsidP="00000000" w:rsidRDefault="00000000" w:rsidRPr="00000000" w14:paraId="0000002A">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The court did </w:t>
      </w:r>
      <w:r w:rsidDel="00000000" w:rsidR="00000000" w:rsidRPr="00000000">
        <w:rPr>
          <w:b w:val="1"/>
          <w:bCs w:val="1"/>
          <w:sz w:val="24"/>
          <w:szCs w:val="24"/>
          <w:rtl w:val="0"/>
        </w:rPr>
        <w:t xml:space="preserve">not</w:t>
      </w:r>
      <w:r w:rsidDel="00000000" w:rsidR="00000000" w:rsidRPr="00000000">
        <w:rPr>
          <w:sz w:val="24"/>
          <w:szCs w:val="24"/>
          <w:rtl w:val="0"/>
        </w:rPr>
        <w:t xml:space="preserve"> determine that the concerns were unfounded.</w:t>
      </w:r>
    </w:p>
    <w:p w:rsidR="00000000" w:rsidDel="00000000" w:rsidP="00000000" w:rsidRDefault="00000000" w:rsidRPr="00000000" w14:paraId="0000002B">
      <w:pPr>
        <w:numPr>
          <w:ilvl w:val="0"/>
          <w:numId w:val="3"/>
        </w:numPr>
        <w:spacing w:after="240" w:before="0" w:beforeAutospacing="0" w:lineRule="auto"/>
        <w:ind w:left="720" w:hanging="360"/>
        <w:rPr>
          <w:sz w:val="24"/>
          <w:szCs w:val="24"/>
        </w:rPr>
      </w:pPr>
      <w:r w:rsidDel="00000000" w:rsidR="00000000" w:rsidRPr="00000000">
        <w:rPr>
          <w:sz w:val="24"/>
          <w:szCs w:val="24"/>
          <w:rtl w:val="0"/>
        </w:rPr>
        <w:t xml:space="preserve">The court did </w:t>
      </w:r>
      <w:r w:rsidDel="00000000" w:rsidR="00000000" w:rsidRPr="00000000">
        <w:rPr>
          <w:b w:val="1"/>
          <w:bCs w:val="1"/>
          <w:sz w:val="24"/>
          <w:szCs w:val="24"/>
          <w:rtl w:val="0"/>
        </w:rPr>
        <w:t xml:space="preserve">not</w:t>
      </w:r>
      <w:r w:rsidDel="00000000" w:rsidR="00000000" w:rsidRPr="00000000">
        <w:rPr>
          <w:sz w:val="24"/>
          <w:szCs w:val="24"/>
          <w:rtl w:val="0"/>
        </w:rPr>
        <w:t xml:space="preserve"> test the documents.</w:t>
      </w:r>
    </w:p>
    <w:p w:rsidR="00000000" w:rsidDel="00000000" w:rsidP="00000000" w:rsidRDefault="00000000" w:rsidRPr="00000000" w14:paraId="0000002C">
      <w:pPr>
        <w:spacing w:after="240" w:before="240" w:lineRule="auto"/>
        <w:rPr>
          <w:sz w:val="24"/>
          <w:szCs w:val="24"/>
        </w:rPr>
      </w:pPr>
      <w:r w:rsidDel="00000000" w:rsidR="00000000" w:rsidRPr="00000000">
        <w:rPr>
          <w:sz w:val="24"/>
          <w:szCs w:val="24"/>
          <w:rtl w:val="0"/>
        </w:rPr>
        <w:t xml:space="preserve">The SRA’s reliance on the court process is therefore doctrinally misplaced.</w:t>
      </w:r>
    </w:p>
    <w:p w:rsidR="00000000" w:rsidDel="00000000" w:rsidP="00000000" w:rsidRDefault="00000000" w:rsidRPr="00000000" w14:paraId="0000002D">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pStyle w:val="Heading1"/>
        <w:keepNext w:val="0"/>
        <w:keepLines w:val="0"/>
        <w:spacing w:before="480" w:lineRule="auto"/>
        <w:rPr>
          <w:b w:val="1"/>
          <w:bCs w:val="1"/>
          <w:sz w:val="48"/>
          <w:szCs w:val="48"/>
        </w:rPr>
      </w:pPr>
      <w:bookmarkStart w:colFirst="0" w:colLast="0" w:name="_d40ck7q1a26h" w:id="8"/>
      <w:bookmarkEnd w:id="8"/>
      <w:r w:rsidDel="00000000" w:rsidR="00000000" w:rsidRPr="00000000">
        <w:rPr>
          <w:b w:val="1"/>
          <w:bCs w:val="1"/>
          <w:sz w:val="48"/>
          <w:szCs w:val="48"/>
          <w:rtl w:val="0"/>
        </w:rPr>
        <w:t xml:space="preserve">4. Doctrinal Analysis of Concern 2: Eviction Without Standing</w:t>
      </w:r>
    </w:p>
    <w:p w:rsidR="00000000" w:rsidDel="00000000" w:rsidP="00000000" w:rsidRDefault="00000000" w:rsidRPr="00000000" w14:paraId="0000002F">
      <w:pPr>
        <w:pStyle w:val="Heading2"/>
        <w:keepNext w:val="0"/>
        <w:keepLines w:val="0"/>
        <w:spacing w:after="80" w:lineRule="auto"/>
        <w:rPr>
          <w:b w:val="1"/>
          <w:bCs w:val="1"/>
          <w:sz w:val="36"/>
          <w:szCs w:val="36"/>
        </w:rPr>
      </w:pPr>
      <w:bookmarkStart w:colFirst="0" w:colLast="0" w:name="_xpza3z58x9nt" w:id="9"/>
      <w:bookmarkEnd w:id="9"/>
      <w:r w:rsidDel="00000000" w:rsidR="00000000" w:rsidRPr="00000000">
        <w:rPr>
          <w:b w:val="1"/>
          <w:bCs w:val="1"/>
          <w:sz w:val="36"/>
          <w:szCs w:val="36"/>
          <w:rtl w:val="0"/>
        </w:rPr>
        <w:t xml:space="preserve">4.1 False Jurisdictional Boundary</w:t>
      </w:r>
    </w:p>
    <w:p w:rsidR="00000000" w:rsidDel="00000000" w:rsidP="00000000" w:rsidRDefault="00000000" w:rsidRPr="00000000" w14:paraId="00000030">
      <w:pPr>
        <w:spacing w:after="240" w:before="240" w:lineRule="auto"/>
        <w:rPr>
          <w:sz w:val="24"/>
          <w:szCs w:val="24"/>
        </w:rPr>
      </w:pPr>
      <w:r w:rsidDel="00000000" w:rsidR="00000000" w:rsidRPr="00000000">
        <w:rPr>
          <w:sz w:val="24"/>
          <w:szCs w:val="24"/>
          <w:rtl w:val="0"/>
        </w:rPr>
        <w:t xml:space="preserve">The SRA states:</w:t>
      </w:r>
    </w:p>
    <w:p w:rsidR="00000000" w:rsidDel="00000000" w:rsidP="00000000" w:rsidRDefault="00000000" w:rsidRPr="00000000" w14:paraId="00000031">
      <w:pPr>
        <w:spacing w:after="240" w:before="240" w:lineRule="auto"/>
        <w:ind w:left="600" w:right="600" w:firstLine="0"/>
        <w:rPr>
          <w:sz w:val="24"/>
          <w:szCs w:val="24"/>
        </w:rPr>
      </w:pPr>
      <w:r w:rsidDel="00000000" w:rsidR="00000000" w:rsidRPr="00000000">
        <w:rPr>
          <w:sz w:val="24"/>
          <w:szCs w:val="24"/>
          <w:rtl w:val="0"/>
        </w:rPr>
        <w:t xml:space="preserve">“The legal standing of an attempt for eviction is a matter for the courts…”</w:t>
      </w:r>
    </w:p>
    <w:p w:rsidR="00000000" w:rsidDel="00000000" w:rsidP="00000000" w:rsidRDefault="00000000" w:rsidRPr="00000000" w14:paraId="00000032">
      <w:pPr>
        <w:spacing w:after="240" w:before="240" w:lineRule="auto"/>
        <w:rPr>
          <w:sz w:val="24"/>
          <w:szCs w:val="24"/>
        </w:rPr>
      </w:pPr>
      <w:r w:rsidDel="00000000" w:rsidR="00000000" w:rsidRPr="00000000">
        <w:rPr>
          <w:sz w:val="24"/>
          <w:szCs w:val="24"/>
          <w:rtl w:val="0"/>
        </w:rPr>
        <w:t xml:space="preserve">This is doctrinally unsustainable. Standing is both:</w:t>
      </w:r>
    </w:p>
    <w:p w:rsidR="00000000" w:rsidDel="00000000" w:rsidP="00000000" w:rsidRDefault="00000000" w:rsidRPr="00000000" w14:paraId="00000033">
      <w:pPr>
        <w:numPr>
          <w:ilvl w:val="0"/>
          <w:numId w:val="8"/>
        </w:numPr>
        <w:spacing w:after="0" w:afterAutospacing="0" w:before="240" w:lineRule="auto"/>
        <w:ind w:left="720" w:hanging="360"/>
        <w:rPr>
          <w:sz w:val="24"/>
          <w:szCs w:val="24"/>
        </w:rPr>
      </w:pPr>
      <w:r w:rsidDel="00000000" w:rsidR="00000000" w:rsidRPr="00000000">
        <w:rPr>
          <w:sz w:val="24"/>
          <w:szCs w:val="24"/>
          <w:rtl w:val="0"/>
        </w:rPr>
        <w:t xml:space="preserve">a </w:t>
      </w:r>
      <w:r w:rsidDel="00000000" w:rsidR="00000000" w:rsidRPr="00000000">
        <w:rPr>
          <w:b w:val="1"/>
          <w:bCs w:val="1"/>
          <w:sz w:val="24"/>
          <w:szCs w:val="24"/>
          <w:rtl w:val="0"/>
        </w:rPr>
        <w:t xml:space="preserve">judicial</w:t>
      </w:r>
      <w:r w:rsidDel="00000000" w:rsidR="00000000" w:rsidRPr="00000000">
        <w:rPr>
          <w:sz w:val="24"/>
          <w:szCs w:val="24"/>
          <w:rtl w:val="0"/>
        </w:rPr>
        <w:t xml:space="preserve"> question (validity of the order), and</w:t>
      </w:r>
    </w:p>
    <w:p w:rsidR="00000000" w:rsidDel="00000000" w:rsidP="00000000" w:rsidRDefault="00000000" w:rsidRPr="00000000" w14:paraId="00000034">
      <w:pPr>
        <w:numPr>
          <w:ilvl w:val="0"/>
          <w:numId w:val="8"/>
        </w:numPr>
        <w:spacing w:after="240" w:before="0" w:beforeAutospacing="0" w:lineRule="auto"/>
        <w:ind w:left="720" w:hanging="360"/>
        <w:rPr>
          <w:sz w:val="24"/>
          <w:szCs w:val="24"/>
        </w:rPr>
      </w:pPr>
      <w:r w:rsidDel="00000000" w:rsidR="00000000" w:rsidRPr="00000000">
        <w:rPr>
          <w:sz w:val="24"/>
          <w:szCs w:val="24"/>
          <w:rtl w:val="0"/>
        </w:rPr>
        <w:t xml:space="preserve">a </w:t>
      </w:r>
      <w:r w:rsidDel="00000000" w:rsidR="00000000" w:rsidRPr="00000000">
        <w:rPr>
          <w:b w:val="1"/>
          <w:bCs w:val="1"/>
          <w:sz w:val="24"/>
          <w:szCs w:val="24"/>
          <w:rtl w:val="0"/>
        </w:rPr>
        <w:t xml:space="preserve">regulatory</w:t>
      </w:r>
      <w:r w:rsidDel="00000000" w:rsidR="00000000" w:rsidRPr="00000000">
        <w:rPr>
          <w:sz w:val="24"/>
          <w:szCs w:val="24"/>
          <w:rtl w:val="0"/>
        </w:rPr>
        <w:t xml:space="preserve"> question (whether a firm misused the court process or acted without authority).</w:t>
      </w:r>
    </w:p>
    <w:p w:rsidR="00000000" w:rsidDel="00000000" w:rsidP="00000000" w:rsidRDefault="00000000" w:rsidRPr="00000000" w14:paraId="00000035">
      <w:pPr>
        <w:spacing w:after="240" w:before="240" w:lineRule="auto"/>
        <w:rPr>
          <w:sz w:val="24"/>
          <w:szCs w:val="24"/>
        </w:rPr>
      </w:pPr>
      <w:r w:rsidDel="00000000" w:rsidR="00000000" w:rsidRPr="00000000">
        <w:rPr>
          <w:sz w:val="24"/>
          <w:szCs w:val="24"/>
          <w:rtl w:val="0"/>
        </w:rPr>
        <w:t xml:space="preserve">The SRA Principles require solicitors to:</w:t>
      </w:r>
    </w:p>
    <w:p w:rsidR="00000000" w:rsidDel="00000000" w:rsidP="00000000" w:rsidRDefault="00000000" w:rsidRPr="00000000" w14:paraId="00000036">
      <w:pPr>
        <w:numPr>
          <w:ilvl w:val="0"/>
          <w:numId w:val="11"/>
        </w:numPr>
        <w:spacing w:after="0" w:afterAutospacing="0" w:before="240" w:lineRule="auto"/>
        <w:ind w:left="720" w:hanging="360"/>
        <w:rPr>
          <w:sz w:val="24"/>
          <w:szCs w:val="24"/>
        </w:rPr>
      </w:pPr>
      <w:r w:rsidDel="00000000" w:rsidR="00000000" w:rsidRPr="00000000">
        <w:rPr>
          <w:sz w:val="24"/>
          <w:szCs w:val="24"/>
          <w:rtl w:val="0"/>
        </w:rPr>
        <w:t xml:space="preserve">uphold the rule of law;</w:t>
      </w:r>
    </w:p>
    <w:p w:rsidR="00000000" w:rsidDel="00000000" w:rsidP="00000000" w:rsidRDefault="00000000" w:rsidRPr="00000000" w14:paraId="00000037">
      <w:pPr>
        <w:numPr>
          <w:ilvl w:val="0"/>
          <w:numId w:val="11"/>
        </w:numPr>
        <w:spacing w:after="0" w:afterAutospacing="0" w:before="0" w:beforeAutospacing="0" w:lineRule="auto"/>
        <w:ind w:left="720" w:hanging="360"/>
        <w:rPr>
          <w:sz w:val="24"/>
          <w:szCs w:val="24"/>
        </w:rPr>
      </w:pPr>
      <w:r w:rsidDel="00000000" w:rsidR="00000000" w:rsidRPr="00000000">
        <w:rPr>
          <w:sz w:val="24"/>
          <w:szCs w:val="24"/>
          <w:rtl w:val="0"/>
        </w:rPr>
        <w:t xml:space="preserve">act with integrity;</w:t>
      </w:r>
    </w:p>
    <w:p w:rsidR="00000000" w:rsidDel="00000000" w:rsidP="00000000" w:rsidRDefault="00000000" w:rsidRPr="00000000" w14:paraId="00000038">
      <w:pPr>
        <w:numPr>
          <w:ilvl w:val="0"/>
          <w:numId w:val="11"/>
        </w:numPr>
        <w:spacing w:after="240" w:before="0" w:beforeAutospacing="0" w:lineRule="auto"/>
        <w:ind w:left="720" w:hanging="360"/>
        <w:rPr>
          <w:sz w:val="24"/>
          <w:szCs w:val="24"/>
        </w:rPr>
      </w:pPr>
      <w:r w:rsidDel="00000000" w:rsidR="00000000" w:rsidRPr="00000000">
        <w:rPr>
          <w:sz w:val="24"/>
          <w:szCs w:val="24"/>
          <w:rtl w:val="0"/>
        </w:rPr>
        <w:t xml:space="preserve">maintain public trust.[3]</w:t>
      </w:r>
    </w:p>
    <w:p w:rsidR="00000000" w:rsidDel="00000000" w:rsidP="00000000" w:rsidRDefault="00000000" w:rsidRPr="00000000" w14:paraId="00000039">
      <w:pPr>
        <w:spacing w:after="240" w:before="240" w:lineRule="auto"/>
        <w:rPr>
          <w:sz w:val="24"/>
          <w:szCs w:val="24"/>
        </w:rPr>
      </w:pPr>
      <w:r w:rsidDel="00000000" w:rsidR="00000000" w:rsidRPr="00000000">
        <w:rPr>
          <w:sz w:val="24"/>
          <w:szCs w:val="24"/>
          <w:rtl w:val="0"/>
        </w:rPr>
        <w:t xml:space="preserve">A firm litigating without authority is capable of breaching all three.</w:t>
      </w:r>
    </w:p>
    <w:p w:rsidR="00000000" w:rsidDel="00000000" w:rsidP="00000000" w:rsidRDefault="00000000" w:rsidRPr="00000000" w14:paraId="0000003A">
      <w:pPr>
        <w:pStyle w:val="Heading2"/>
        <w:keepNext w:val="0"/>
        <w:keepLines w:val="0"/>
        <w:spacing w:after="80" w:lineRule="auto"/>
        <w:rPr>
          <w:b w:val="1"/>
          <w:bCs w:val="1"/>
          <w:sz w:val="36"/>
          <w:szCs w:val="36"/>
        </w:rPr>
      </w:pPr>
      <w:bookmarkStart w:colFirst="0" w:colLast="0" w:name="_z3hvu5q44tdf" w:id="10"/>
      <w:bookmarkEnd w:id="10"/>
      <w:r w:rsidDel="00000000" w:rsidR="00000000" w:rsidRPr="00000000">
        <w:rPr>
          <w:b w:val="1"/>
          <w:bCs w:val="1"/>
          <w:sz w:val="36"/>
          <w:szCs w:val="36"/>
          <w:rtl w:val="0"/>
        </w:rPr>
        <w:t xml:space="preserve">4.2 “Acting on Instructions” as a Non‑Defence</w:t>
      </w:r>
    </w:p>
    <w:p w:rsidR="00000000" w:rsidDel="00000000" w:rsidP="00000000" w:rsidRDefault="00000000" w:rsidRPr="00000000" w14:paraId="0000003B">
      <w:pPr>
        <w:spacing w:after="240" w:before="240" w:lineRule="auto"/>
        <w:rPr>
          <w:sz w:val="24"/>
          <w:szCs w:val="24"/>
        </w:rPr>
      </w:pPr>
      <w:r w:rsidDel="00000000" w:rsidR="00000000" w:rsidRPr="00000000">
        <w:rPr>
          <w:sz w:val="24"/>
          <w:szCs w:val="24"/>
          <w:rtl w:val="0"/>
        </w:rPr>
        <w:t xml:space="preserve">The SRA asserts that the firm acted “on the instruction of its client”. This is irrelevant if the client itself lacks enforceable rights. A solicitor’s duty to the client is subordinate to duties to the court and the public interest.[4]</w:t>
      </w:r>
    </w:p>
    <w:p w:rsidR="00000000" w:rsidDel="00000000" w:rsidP="00000000" w:rsidRDefault="00000000" w:rsidRPr="00000000" w14:paraId="0000003C">
      <w:pPr>
        <w:spacing w:after="240" w:before="240" w:lineRule="auto"/>
        <w:rPr>
          <w:sz w:val="24"/>
          <w:szCs w:val="24"/>
        </w:rPr>
      </w:pPr>
      <w:r w:rsidDel="00000000" w:rsidR="00000000" w:rsidRPr="00000000">
        <w:rPr>
          <w:sz w:val="24"/>
          <w:szCs w:val="24"/>
          <w:rtl w:val="0"/>
        </w:rPr>
        <w:t xml:space="preserve">The SRA did not test whether Skipton held the enforceable right it asserted. This is a failure of regulatory reasoning.</w:t>
      </w:r>
    </w:p>
    <w:p w:rsidR="00000000" w:rsidDel="00000000" w:rsidP="00000000" w:rsidRDefault="00000000" w:rsidRPr="00000000" w14:paraId="0000003D">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Style w:val="Heading1"/>
        <w:keepNext w:val="0"/>
        <w:keepLines w:val="0"/>
        <w:spacing w:before="480" w:lineRule="auto"/>
        <w:rPr>
          <w:b w:val="1"/>
          <w:bCs w:val="1"/>
          <w:sz w:val="48"/>
          <w:szCs w:val="48"/>
        </w:rPr>
      </w:pPr>
      <w:bookmarkStart w:colFirst="0" w:colLast="0" w:name="_j3kp4g13o6lw" w:id="11"/>
      <w:bookmarkEnd w:id="11"/>
      <w:r w:rsidDel="00000000" w:rsidR="00000000" w:rsidRPr="00000000">
        <w:rPr>
          <w:b w:val="1"/>
          <w:bCs w:val="1"/>
          <w:sz w:val="48"/>
          <w:szCs w:val="48"/>
          <w:rtl w:val="0"/>
        </w:rPr>
        <w:t xml:space="preserve">5. Doctrinal Analysis of Concern 3: Misrepresentation to HM Land Registry</w:t>
      </w:r>
    </w:p>
    <w:p w:rsidR="00000000" w:rsidDel="00000000" w:rsidP="00000000" w:rsidRDefault="00000000" w:rsidRPr="00000000" w14:paraId="0000003F">
      <w:pPr>
        <w:pStyle w:val="Heading2"/>
        <w:keepNext w:val="0"/>
        <w:keepLines w:val="0"/>
        <w:spacing w:after="80" w:lineRule="auto"/>
        <w:rPr>
          <w:b w:val="1"/>
          <w:bCs w:val="1"/>
          <w:sz w:val="36"/>
          <w:szCs w:val="36"/>
        </w:rPr>
      </w:pPr>
      <w:bookmarkStart w:colFirst="0" w:colLast="0" w:name="_s919ksxv82v2" w:id="12"/>
      <w:bookmarkEnd w:id="12"/>
      <w:r w:rsidDel="00000000" w:rsidR="00000000" w:rsidRPr="00000000">
        <w:rPr>
          <w:b w:val="1"/>
          <w:bCs w:val="1"/>
          <w:sz w:val="36"/>
          <w:szCs w:val="36"/>
          <w:rtl w:val="0"/>
        </w:rPr>
        <w:t xml:space="preserve">5.1 Acceptance of Assurances Without Evidential Scrutiny</w:t>
      </w:r>
    </w:p>
    <w:p w:rsidR="00000000" w:rsidDel="00000000" w:rsidP="00000000" w:rsidRDefault="00000000" w:rsidRPr="00000000" w14:paraId="00000040">
      <w:pPr>
        <w:spacing w:after="240" w:before="240" w:lineRule="auto"/>
        <w:rPr>
          <w:sz w:val="24"/>
          <w:szCs w:val="24"/>
        </w:rPr>
      </w:pPr>
      <w:r w:rsidDel="00000000" w:rsidR="00000000" w:rsidRPr="00000000">
        <w:rPr>
          <w:sz w:val="24"/>
          <w:szCs w:val="24"/>
          <w:rtl w:val="0"/>
        </w:rPr>
        <w:t xml:space="preserve">The SRA concludes that interests were “correctly represented”. Yet the transcript records:</w:t>
      </w:r>
    </w:p>
    <w:p w:rsidR="00000000" w:rsidDel="00000000" w:rsidP="00000000" w:rsidRDefault="00000000" w:rsidRPr="00000000" w14:paraId="00000041">
      <w:pPr>
        <w:spacing w:after="240" w:before="240" w:lineRule="auto"/>
        <w:ind w:left="600" w:right="600" w:firstLine="0"/>
        <w:rPr>
          <w:sz w:val="24"/>
          <w:szCs w:val="24"/>
        </w:rPr>
      </w:pPr>
      <w:r w:rsidDel="00000000" w:rsidR="00000000" w:rsidRPr="00000000">
        <w:rPr>
          <w:sz w:val="24"/>
          <w:szCs w:val="24"/>
          <w:rtl w:val="0"/>
        </w:rPr>
        <w:t xml:space="preserve">“Even the Notice of Assignment was changed without his consent…” (Transcript, p.9)</w:t>
      </w:r>
    </w:p>
    <w:p w:rsidR="00000000" w:rsidDel="00000000" w:rsidP="00000000" w:rsidRDefault="00000000" w:rsidRPr="00000000" w14:paraId="00000042">
      <w:pPr>
        <w:spacing w:after="240" w:before="240" w:lineRule="auto"/>
        <w:rPr>
          <w:sz w:val="24"/>
          <w:szCs w:val="24"/>
        </w:rPr>
      </w:pPr>
      <w:r w:rsidDel="00000000" w:rsidR="00000000" w:rsidRPr="00000000">
        <w:rPr>
          <w:sz w:val="24"/>
          <w:szCs w:val="24"/>
          <w:rtl w:val="0"/>
        </w:rPr>
        <w:t xml:space="preserve">If the Notice of Assignment has been altered and the Deed of Assignment cannot be produced, any representation to HM Land Registry is inherently suspect.</w:t>
      </w:r>
    </w:p>
    <w:p w:rsidR="00000000" w:rsidDel="00000000" w:rsidP="00000000" w:rsidRDefault="00000000" w:rsidRPr="00000000" w14:paraId="00000043">
      <w:pPr>
        <w:spacing w:after="240" w:before="240" w:lineRule="auto"/>
        <w:rPr>
          <w:sz w:val="24"/>
          <w:szCs w:val="24"/>
        </w:rPr>
      </w:pPr>
      <w:r w:rsidDel="00000000" w:rsidR="00000000" w:rsidRPr="00000000">
        <w:rPr>
          <w:sz w:val="24"/>
          <w:szCs w:val="24"/>
          <w:rtl w:val="0"/>
        </w:rPr>
        <w:t xml:space="preserve">The SRA does not:</w:t>
      </w:r>
    </w:p>
    <w:p w:rsidR="00000000" w:rsidDel="00000000" w:rsidP="00000000" w:rsidRDefault="00000000" w:rsidRPr="00000000" w14:paraId="00000044">
      <w:pPr>
        <w:numPr>
          <w:ilvl w:val="0"/>
          <w:numId w:val="4"/>
        </w:numPr>
        <w:spacing w:after="0" w:afterAutospacing="0" w:before="240" w:lineRule="auto"/>
        <w:ind w:left="720" w:hanging="360"/>
        <w:rPr>
          <w:sz w:val="24"/>
          <w:szCs w:val="24"/>
        </w:rPr>
      </w:pPr>
      <w:r w:rsidDel="00000000" w:rsidR="00000000" w:rsidRPr="00000000">
        <w:rPr>
          <w:sz w:val="24"/>
          <w:szCs w:val="24"/>
          <w:rtl w:val="0"/>
        </w:rPr>
        <w:t xml:space="preserve">identify what documents it reviewed;</w:t>
      </w:r>
    </w:p>
    <w:p w:rsidR="00000000" w:rsidDel="00000000" w:rsidP="00000000" w:rsidRDefault="00000000" w:rsidRPr="00000000" w14:paraId="00000045">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reconcile contradictions;</w:t>
      </w:r>
    </w:p>
    <w:p w:rsidR="00000000" w:rsidDel="00000000" w:rsidP="00000000" w:rsidRDefault="00000000" w:rsidRPr="00000000" w14:paraId="00000046">
      <w:pPr>
        <w:numPr>
          <w:ilvl w:val="0"/>
          <w:numId w:val="4"/>
        </w:numPr>
        <w:spacing w:after="240" w:before="0" w:beforeAutospacing="0" w:lineRule="auto"/>
        <w:ind w:left="720" w:hanging="360"/>
        <w:rPr>
          <w:sz w:val="24"/>
          <w:szCs w:val="24"/>
        </w:rPr>
      </w:pPr>
      <w:r w:rsidDel="00000000" w:rsidR="00000000" w:rsidRPr="00000000">
        <w:rPr>
          <w:sz w:val="24"/>
          <w:szCs w:val="24"/>
          <w:rtl w:val="0"/>
        </w:rPr>
        <w:t xml:space="preserve">address missing authority documents.</w:t>
      </w:r>
    </w:p>
    <w:p w:rsidR="00000000" w:rsidDel="00000000" w:rsidP="00000000" w:rsidRDefault="00000000" w:rsidRPr="00000000" w14:paraId="00000047">
      <w:pPr>
        <w:pStyle w:val="Heading2"/>
        <w:keepNext w:val="0"/>
        <w:keepLines w:val="0"/>
        <w:spacing w:after="80" w:lineRule="auto"/>
        <w:rPr>
          <w:b w:val="1"/>
          <w:bCs w:val="1"/>
          <w:sz w:val="36"/>
          <w:szCs w:val="36"/>
        </w:rPr>
      </w:pPr>
      <w:bookmarkStart w:colFirst="0" w:colLast="0" w:name="_wqn97zbftlz3" w:id="13"/>
      <w:bookmarkEnd w:id="13"/>
      <w:r w:rsidDel="00000000" w:rsidR="00000000" w:rsidRPr="00000000">
        <w:rPr>
          <w:b w:val="1"/>
          <w:bCs w:val="1"/>
          <w:sz w:val="36"/>
          <w:szCs w:val="36"/>
          <w:rtl w:val="0"/>
        </w:rPr>
        <w:t xml:space="preserve">5.2 Outsourcing Regulatory Responsibility</w:t>
      </w:r>
    </w:p>
    <w:p w:rsidR="00000000" w:rsidDel="00000000" w:rsidP="00000000" w:rsidRDefault="00000000" w:rsidRPr="00000000" w14:paraId="00000048">
      <w:pPr>
        <w:spacing w:after="240" w:before="240" w:lineRule="auto"/>
        <w:rPr>
          <w:sz w:val="24"/>
          <w:szCs w:val="24"/>
        </w:rPr>
      </w:pPr>
      <w:r w:rsidDel="00000000" w:rsidR="00000000" w:rsidRPr="00000000">
        <w:rPr>
          <w:sz w:val="24"/>
          <w:szCs w:val="24"/>
          <w:rtl w:val="0"/>
        </w:rPr>
        <w:t xml:space="preserve">The SRA states:</w:t>
      </w:r>
    </w:p>
    <w:p w:rsidR="00000000" w:rsidDel="00000000" w:rsidP="00000000" w:rsidRDefault="00000000" w:rsidRPr="00000000" w14:paraId="00000049">
      <w:pPr>
        <w:spacing w:after="240" w:before="240" w:lineRule="auto"/>
        <w:ind w:left="600" w:right="600" w:firstLine="0"/>
        <w:rPr>
          <w:sz w:val="24"/>
          <w:szCs w:val="24"/>
        </w:rPr>
      </w:pPr>
      <w:r w:rsidDel="00000000" w:rsidR="00000000" w:rsidRPr="00000000">
        <w:rPr>
          <w:sz w:val="24"/>
          <w:szCs w:val="24"/>
          <w:rtl w:val="0"/>
        </w:rPr>
        <w:t xml:space="preserve">“The standing and validity of an application to the Land Registry is for the Land Registry to decide.”</w:t>
      </w:r>
    </w:p>
    <w:p w:rsidR="00000000" w:rsidDel="00000000" w:rsidP="00000000" w:rsidRDefault="00000000" w:rsidRPr="00000000" w14:paraId="0000004A">
      <w:pPr>
        <w:spacing w:after="240" w:before="240" w:lineRule="auto"/>
        <w:rPr>
          <w:sz w:val="24"/>
          <w:szCs w:val="24"/>
        </w:rPr>
      </w:pPr>
      <w:r w:rsidDel="00000000" w:rsidR="00000000" w:rsidRPr="00000000">
        <w:rPr>
          <w:sz w:val="24"/>
          <w:szCs w:val="24"/>
          <w:rtl w:val="0"/>
        </w:rPr>
        <w:t xml:space="preserve">This is doctrinally incomplete. Misrepresentation to a public register is:</w:t>
      </w:r>
    </w:p>
    <w:p w:rsidR="00000000" w:rsidDel="00000000" w:rsidP="00000000" w:rsidRDefault="00000000" w:rsidRPr="00000000" w14:paraId="0000004B">
      <w:pPr>
        <w:numPr>
          <w:ilvl w:val="0"/>
          <w:numId w:val="2"/>
        </w:numPr>
        <w:spacing w:after="0" w:afterAutospacing="0" w:before="240" w:lineRule="auto"/>
        <w:ind w:left="720" w:hanging="360"/>
        <w:rPr>
          <w:sz w:val="24"/>
          <w:szCs w:val="24"/>
        </w:rPr>
      </w:pPr>
      <w:r w:rsidDel="00000000" w:rsidR="00000000" w:rsidRPr="00000000">
        <w:rPr>
          <w:sz w:val="24"/>
          <w:szCs w:val="24"/>
          <w:rtl w:val="0"/>
        </w:rPr>
        <w:t xml:space="preserve">a Land Registry issue, </w:t>
      </w:r>
      <w:r w:rsidDel="00000000" w:rsidR="00000000" w:rsidRPr="00000000">
        <w:rPr>
          <w:b w:val="1"/>
          <w:bCs w:val="1"/>
          <w:sz w:val="24"/>
          <w:szCs w:val="24"/>
          <w:rtl w:val="0"/>
        </w:rPr>
        <w:t xml:space="preserve">and</w:t>
      </w:r>
    </w:p>
    <w:p w:rsidR="00000000" w:rsidDel="00000000" w:rsidP="00000000" w:rsidRDefault="00000000" w:rsidRPr="00000000" w14:paraId="0000004C">
      <w:pPr>
        <w:numPr>
          <w:ilvl w:val="0"/>
          <w:numId w:val="2"/>
        </w:numPr>
        <w:spacing w:after="240" w:before="0" w:beforeAutospacing="0" w:lineRule="auto"/>
        <w:ind w:left="720" w:hanging="360"/>
        <w:rPr>
          <w:sz w:val="24"/>
          <w:szCs w:val="24"/>
        </w:rPr>
      </w:pPr>
      <w:r w:rsidDel="00000000" w:rsidR="00000000" w:rsidRPr="00000000">
        <w:rPr>
          <w:sz w:val="24"/>
          <w:szCs w:val="24"/>
          <w:rtl w:val="0"/>
        </w:rPr>
        <w:t xml:space="preserve">a regulatory issue under para 1.4 and the SRA Principles.</w:t>
      </w:r>
    </w:p>
    <w:p w:rsidR="00000000" w:rsidDel="00000000" w:rsidP="00000000" w:rsidRDefault="00000000" w:rsidRPr="00000000" w14:paraId="0000004D">
      <w:pPr>
        <w:spacing w:after="240" w:before="240" w:lineRule="auto"/>
        <w:rPr>
          <w:sz w:val="24"/>
          <w:szCs w:val="24"/>
        </w:rPr>
      </w:pPr>
      <w:r w:rsidDel="00000000" w:rsidR="00000000" w:rsidRPr="00000000">
        <w:rPr>
          <w:sz w:val="24"/>
          <w:szCs w:val="24"/>
          <w:rtl w:val="0"/>
        </w:rPr>
        <w:t xml:space="preserve">The SRA cannot abdicate responsibility by deferring to another body.</w:t>
      </w:r>
    </w:p>
    <w:p w:rsidR="00000000" w:rsidDel="00000000" w:rsidP="00000000" w:rsidRDefault="00000000" w:rsidRPr="00000000" w14:paraId="0000004E">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1"/>
        <w:keepNext w:val="0"/>
        <w:keepLines w:val="0"/>
        <w:spacing w:before="480" w:lineRule="auto"/>
        <w:rPr>
          <w:b w:val="1"/>
          <w:bCs w:val="1"/>
          <w:sz w:val="48"/>
          <w:szCs w:val="48"/>
        </w:rPr>
      </w:pPr>
      <w:bookmarkStart w:colFirst="0" w:colLast="0" w:name="_627bq39p6uf8" w:id="14"/>
      <w:bookmarkEnd w:id="14"/>
      <w:r w:rsidDel="00000000" w:rsidR="00000000" w:rsidRPr="00000000">
        <w:rPr>
          <w:b w:val="1"/>
          <w:bCs w:val="1"/>
          <w:sz w:val="48"/>
          <w:szCs w:val="48"/>
          <w:rtl w:val="0"/>
        </w:rPr>
        <w:t xml:space="preserve">6. Circular Reasoning and the Assessment Threshold Test</w:t>
      </w:r>
    </w:p>
    <w:p w:rsidR="00000000" w:rsidDel="00000000" w:rsidP="00000000" w:rsidRDefault="00000000" w:rsidRPr="00000000" w14:paraId="00000050">
      <w:pPr>
        <w:spacing w:after="240" w:before="240" w:lineRule="auto"/>
        <w:rPr>
          <w:sz w:val="24"/>
          <w:szCs w:val="24"/>
        </w:rPr>
      </w:pPr>
      <w:r w:rsidDel="00000000" w:rsidR="00000000" w:rsidRPr="00000000">
        <w:rPr>
          <w:sz w:val="24"/>
          <w:szCs w:val="24"/>
          <w:rtl w:val="0"/>
        </w:rPr>
        <w:t xml:space="preserve">The SRA repeatedly states:</w:t>
      </w:r>
    </w:p>
    <w:p w:rsidR="00000000" w:rsidDel="00000000" w:rsidP="00000000" w:rsidRDefault="00000000" w:rsidRPr="00000000" w14:paraId="00000051">
      <w:pPr>
        <w:spacing w:after="240" w:before="240" w:lineRule="auto"/>
        <w:ind w:left="600" w:right="600" w:firstLine="0"/>
        <w:rPr>
          <w:sz w:val="24"/>
          <w:szCs w:val="24"/>
        </w:rPr>
      </w:pPr>
      <w:r w:rsidDel="00000000" w:rsidR="00000000" w:rsidRPr="00000000">
        <w:rPr>
          <w:sz w:val="24"/>
          <w:szCs w:val="24"/>
          <w:rtl w:val="0"/>
        </w:rPr>
        <w:t xml:space="preserve">“No conclusive evidence…”</w:t>
      </w:r>
    </w:p>
    <w:p w:rsidR="00000000" w:rsidDel="00000000" w:rsidP="00000000" w:rsidRDefault="00000000" w:rsidRPr="00000000" w14:paraId="00000052">
      <w:pPr>
        <w:spacing w:after="240" w:before="240" w:lineRule="auto"/>
        <w:rPr>
          <w:sz w:val="24"/>
          <w:szCs w:val="24"/>
        </w:rPr>
      </w:pPr>
      <w:r w:rsidDel="00000000" w:rsidR="00000000" w:rsidRPr="00000000">
        <w:rPr>
          <w:sz w:val="24"/>
          <w:szCs w:val="24"/>
          <w:rtl w:val="0"/>
        </w:rPr>
        <w:t xml:space="preserve">Yet it refused to investigate the very documents that would provide conclusive evidence. This is a classic circularity problem:</w:t>
      </w:r>
    </w:p>
    <w:p w:rsidR="00000000" w:rsidDel="00000000" w:rsidP="00000000" w:rsidRDefault="00000000" w:rsidRPr="00000000" w14:paraId="00000053">
      <w:pPr>
        <w:numPr>
          <w:ilvl w:val="0"/>
          <w:numId w:val="1"/>
        </w:numPr>
        <w:spacing w:after="0" w:afterAutospacing="0" w:before="240" w:lineRule="auto"/>
        <w:ind w:left="720" w:hanging="360"/>
        <w:rPr>
          <w:sz w:val="24"/>
          <w:szCs w:val="24"/>
        </w:rPr>
      </w:pPr>
      <w:r w:rsidDel="00000000" w:rsidR="00000000" w:rsidRPr="00000000">
        <w:rPr>
          <w:sz w:val="24"/>
          <w:szCs w:val="24"/>
          <w:rtl w:val="0"/>
        </w:rPr>
        <w:t xml:space="preserve">Decline to investigate.</w:t>
      </w:r>
    </w:p>
    <w:p w:rsidR="00000000" w:rsidDel="00000000" w:rsidP="00000000" w:rsidRDefault="00000000" w:rsidRPr="00000000" w14:paraId="00000054">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Note absence of evidence.</w:t>
      </w:r>
    </w:p>
    <w:p w:rsidR="00000000" w:rsidDel="00000000" w:rsidP="00000000" w:rsidRDefault="00000000" w:rsidRPr="00000000" w14:paraId="00000055">
      <w:pPr>
        <w:numPr>
          <w:ilvl w:val="0"/>
          <w:numId w:val="1"/>
        </w:numPr>
        <w:spacing w:after="240" w:before="0" w:beforeAutospacing="0" w:lineRule="auto"/>
        <w:ind w:left="720" w:hanging="360"/>
        <w:rPr>
          <w:sz w:val="24"/>
          <w:szCs w:val="24"/>
        </w:rPr>
      </w:pPr>
      <w:r w:rsidDel="00000000" w:rsidR="00000000" w:rsidRPr="00000000">
        <w:rPr>
          <w:sz w:val="24"/>
          <w:szCs w:val="24"/>
          <w:rtl w:val="0"/>
        </w:rPr>
        <w:t xml:space="preserve">Use absence of evidence as justification for declining to investigate.</w:t>
      </w:r>
    </w:p>
    <w:p w:rsidR="00000000" w:rsidDel="00000000" w:rsidP="00000000" w:rsidRDefault="00000000" w:rsidRPr="00000000" w14:paraId="00000056">
      <w:pPr>
        <w:spacing w:after="240" w:before="240" w:lineRule="auto"/>
        <w:rPr>
          <w:sz w:val="24"/>
          <w:szCs w:val="24"/>
        </w:rPr>
      </w:pPr>
      <w:r w:rsidDel="00000000" w:rsidR="00000000" w:rsidRPr="00000000">
        <w:rPr>
          <w:sz w:val="24"/>
          <w:szCs w:val="24"/>
          <w:rtl w:val="0"/>
        </w:rPr>
        <w:t xml:space="preserve">This is inconsistent with the </w:t>
      </w:r>
      <w:r w:rsidDel="00000000" w:rsidR="00000000" w:rsidRPr="00000000">
        <w:rPr>
          <w:b w:val="1"/>
          <w:bCs w:val="1"/>
          <w:sz w:val="24"/>
          <w:szCs w:val="24"/>
          <w:rtl w:val="0"/>
        </w:rPr>
        <w:t xml:space="preserve">Assessment Threshold Test</w:t>
      </w:r>
      <w:r w:rsidDel="00000000" w:rsidR="00000000" w:rsidRPr="00000000">
        <w:rPr>
          <w:sz w:val="24"/>
          <w:szCs w:val="24"/>
          <w:rtl w:val="0"/>
        </w:rPr>
        <w:t xml:space="preserve">, which asks whether concerns </w:t>
      </w:r>
      <w:r w:rsidDel="00000000" w:rsidR="00000000" w:rsidRPr="00000000">
        <w:rPr>
          <w:b w:val="1"/>
          <w:bCs w:val="1"/>
          <w:sz w:val="24"/>
          <w:szCs w:val="24"/>
          <w:rtl w:val="0"/>
        </w:rPr>
        <w:t xml:space="preserve">could</w:t>
      </w:r>
      <w:r w:rsidDel="00000000" w:rsidR="00000000" w:rsidRPr="00000000">
        <w:rPr>
          <w:sz w:val="24"/>
          <w:szCs w:val="24"/>
          <w:rtl w:val="0"/>
        </w:rPr>
        <w:t xml:space="preserve"> amount to misconduct if proven.[5]</w:t>
      </w:r>
    </w:p>
    <w:p w:rsidR="00000000" w:rsidDel="00000000" w:rsidP="00000000" w:rsidRDefault="00000000" w:rsidRPr="00000000" w14:paraId="00000057">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pStyle w:val="Heading1"/>
        <w:keepNext w:val="0"/>
        <w:keepLines w:val="0"/>
        <w:spacing w:before="480" w:lineRule="auto"/>
        <w:rPr>
          <w:b w:val="1"/>
          <w:bCs w:val="1"/>
          <w:sz w:val="48"/>
          <w:szCs w:val="48"/>
        </w:rPr>
      </w:pPr>
      <w:bookmarkStart w:colFirst="0" w:colLast="0" w:name="_y57r79a1z70" w:id="15"/>
      <w:bookmarkEnd w:id="15"/>
      <w:r w:rsidDel="00000000" w:rsidR="00000000" w:rsidRPr="00000000">
        <w:rPr>
          <w:b w:val="1"/>
          <w:bCs w:val="1"/>
          <w:sz w:val="48"/>
          <w:szCs w:val="48"/>
          <w:rtl w:val="0"/>
        </w:rPr>
        <w:t xml:space="preserve">7. Racialised Risk and Structural Inequality in Regulatory Decision‑Making</w:t>
      </w:r>
    </w:p>
    <w:p w:rsidR="00000000" w:rsidDel="00000000" w:rsidP="00000000" w:rsidRDefault="00000000" w:rsidRPr="00000000" w14:paraId="00000059">
      <w:pPr>
        <w:pStyle w:val="Heading2"/>
        <w:keepNext w:val="0"/>
        <w:keepLines w:val="0"/>
        <w:spacing w:after="80" w:lineRule="auto"/>
        <w:rPr>
          <w:b w:val="1"/>
          <w:bCs w:val="1"/>
          <w:sz w:val="36"/>
          <w:szCs w:val="36"/>
        </w:rPr>
      </w:pPr>
      <w:bookmarkStart w:colFirst="0" w:colLast="0" w:name="_lkz57qsu9lcs" w:id="16"/>
      <w:bookmarkEnd w:id="16"/>
      <w:r w:rsidDel="00000000" w:rsidR="00000000" w:rsidRPr="00000000">
        <w:rPr>
          <w:b w:val="1"/>
          <w:bCs w:val="1"/>
          <w:sz w:val="36"/>
          <w:szCs w:val="36"/>
          <w:rtl w:val="0"/>
        </w:rPr>
        <w:t xml:space="preserve">7.1 The Public Sector Equality Duty (PSED)</w:t>
      </w:r>
    </w:p>
    <w:p w:rsidR="00000000" w:rsidDel="00000000" w:rsidP="00000000" w:rsidRDefault="00000000" w:rsidRPr="00000000" w14:paraId="0000005A">
      <w:pPr>
        <w:spacing w:after="240" w:before="240" w:lineRule="auto"/>
        <w:rPr>
          <w:sz w:val="24"/>
          <w:szCs w:val="24"/>
        </w:rPr>
      </w:pPr>
      <w:r w:rsidDel="00000000" w:rsidR="00000000" w:rsidRPr="00000000">
        <w:rPr>
          <w:sz w:val="24"/>
          <w:szCs w:val="24"/>
          <w:rtl w:val="0"/>
        </w:rPr>
        <w:t xml:space="preserve">As a public regulator, the SRA is subject to the Equality Act 2010, s.149, requiring due regard to:</w:t>
      </w:r>
    </w:p>
    <w:p w:rsidR="00000000" w:rsidDel="00000000" w:rsidP="00000000" w:rsidRDefault="00000000" w:rsidRPr="00000000" w14:paraId="0000005B">
      <w:pPr>
        <w:numPr>
          <w:ilvl w:val="0"/>
          <w:numId w:val="10"/>
        </w:numPr>
        <w:spacing w:after="0" w:afterAutospacing="0" w:before="240" w:lineRule="auto"/>
        <w:ind w:left="720" w:hanging="360"/>
        <w:rPr>
          <w:sz w:val="24"/>
          <w:szCs w:val="24"/>
        </w:rPr>
      </w:pPr>
      <w:r w:rsidDel="00000000" w:rsidR="00000000" w:rsidRPr="00000000">
        <w:rPr>
          <w:sz w:val="24"/>
          <w:szCs w:val="24"/>
          <w:rtl w:val="0"/>
        </w:rPr>
        <w:t xml:space="preserve">eliminating discrimination;</w:t>
      </w:r>
    </w:p>
    <w:p w:rsidR="00000000" w:rsidDel="00000000" w:rsidP="00000000" w:rsidRDefault="00000000" w:rsidRPr="00000000" w14:paraId="0000005C">
      <w:pPr>
        <w:numPr>
          <w:ilvl w:val="0"/>
          <w:numId w:val="10"/>
        </w:numPr>
        <w:spacing w:after="0" w:afterAutospacing="0" w:before="0" w:beforeAutospacing="0" w:lineRule="auto"/>
        <w:ind w:left="720" w:hanging="360"/>
        <w:rPr>
          <w:sz w:val="24"/>
          <w:szCs w:val="24"/>
        </w:rPr>
      </w:pPr>
      <w:r w:rsidDel="00000000" w:rsidR="00000000" w:rsidRPr="00000000">
        <w:rPr>
          <w:sz w:val="24"/>
          <w:szCs w:val="24"/>
          <w:rtl w:val="0"/>
        </w:rPr>
        <w:t xml:space="preserve">advancing equality of opportunity;</w:t>
      </w:r>
    </w:p>
    <w:p w:rsidR="00000000" w:rsidDel="00000000" w:rsidP="00000000" w:rsidRDefault="00000000" w:rsidRPr="00000000" w14:paraId="0000005D">
      <w:pPr>
        <w:numPr>
          <w:ilvl w:val="0"/>
          <w:numId w:val="10"/>
        </w:numPr>
        <w:spacing w:after="240" w:before="0" w:beforeAutospacing="0" w:lineRule="auto"/>
        <w:ind w:left="720" w:hanging="360"/>
        <w:rPr>
          <w:sz w:val="24"/>
          <w:szCs w:val="24"/>
        </w:rPr>
      </w:pPr>
      <w:r w:rsidDel="00000000" w:rsidR="00000000" w:rsidRPr="00000000">
        <w:rPr>
          <w:sz w:val="24"/>
          <w:szCs w:val="24"/>
          <w:rtl w:val="0"/>
        </w:rPr>
        <w:t xml:space="preserve">fostering good relations.[6]</w:t>
      </w:r>
    </w:p>
    <w:p w:rsidR="00000000" w:rsidDel="00000000" w:rsidP="00000000" w:rsidRDefault="00000000" w:rsidRPr="00000000" w14:paraId="0000005E">
      <w:pPr>
        <w:spacing w:after="240" w:before="240" w:lineRule="auto"/>
        <w:rPr>
          <w:sz w:val="24"/>
          <w:szCs w:val="24"/>
        </w:rPr>
      </w:pPr>
      <w:r w:rsidDel="00000000" w:rsidR="00000000" w:rsidRPr="00000000">
        <w:rPr>
          <w:sz w:val="24"/>
          <w:szCs w:val="24"/>
          <w:rtl w:val="0"/>
        </w:rPr>
        <w:t xml:space="preserve">This includes awareness of </w:t>
      </w:r>
      <w:r w:rsidDel="00000000" w:rsidR="00000000" w:rsidRPr="00000000">
        <w:rPr>
          <w:b w:val="1"/>
          <w:bCs w:val="1"/>
          <w:sz w:val="24"/>
          <w:szCs w:val="24"/>
          <w:rtl w:val="0"/>
        </w:rPr>
        <w:t xml:space="preserve">indirect discrimination</w:t>
      </w:r>
      <w:r w:rsidDel="00000000" w:rsidR="00000000" w:rsidRPr="00000000">
        <w:rPr>
          <w:sz w:val="24"/>
          <w:szCs w:val="24"/>
          <w:rtl w:val="0"/>
        </w:rPr>
        <w:t xml:space="preserve"> and </w:t>
      </w:r>
      <w:r w:rsidDel="00000000" w:rsidR="00000000" w:rsidRPr="00000000">
        <w:rPr>
          <w:b w:val="1"/>
          <w:bCs w:val="1"/>
          <w:sz w:val="24"/>
          <w:szCs w:val="24"/>
          <w:rtl w:val="0"/>
        </w:rPr>
        <w:t xml:space="preserve">structural disadvantage</w:t>
      </w:r>
      <w:r w:rsidDel="00000000" w:rsidR="00000000" w:rsidRPr="00000000">
        <w:rPr>
          <w:sz w:val="24"/>
          <w:szCs w:val="24"/>
          <w:rtl w:val="0"/>
        </w:rPr>
        <w:t xml:space="preserve">.</w:t>
      </w:r>
    </w:p>
    <w:p w:rsidR="00000000" w:rsidDel="00000000" w:rsidP="00000000" w:rsidRDefault="00000000" w:rsidRPr="00000000" w14:paraId="0000005F">
      <w:pPr>
        <w:pStyle w:val="Heading2"/>
        <w:keepNext w:val="0"/>
        <w:keepLines w:val="0"/>
        <w:spacing w:after="80" w:lineRule="auto"/>
        <w:rPr>
          <w:b w:val="1"/>
          <w:bCs w:val="1"/>
          <w:sz w:val="36"/>
          <w:szCs w:val="36"/>
        </w:rPr>
      </w:pPr>
      <w:bookmarkStart w:colFirst="0" w:colLast="0" w:name="_owbr1u5eqhqy" w:id="17"/>
      <w:bookmarkEnd w:id="17"/>
      <w:r w:rsidDel="00000000" w:rsidR="00000000" w:rsidRPr="00000000">
        <w:rPr>
          <w:b w:val="1"/>
          <w:bCs w:val="1"/>
          <w:sz w:val="36"/>
          <w:szCs w:val="36"/>
          <w:rtl w:val="0"/>
        </w:rPr>
        <w:t xml:space="preserve">7.2 Racialised Risk in Professional Discipline</w:t>
      </w:r>
    </w:p>
    <w:p w:rsidR="00000000" w:rsidDel="00000000" w:rsidP="00000000" w:rsidRDefault="00000000" w:rsidRPr="00000000" w14:paraId="00000060">
      <w:pPr>
        <w:spacing w:after="240" w:before="240" w:lineRule="auto"/>
        <w:rPr>
          <w:sz w:val="24"/>
          <w:szCs w:val="24"/>
        </w:rPr>
      </w:pPr>
      <w:r w:rsidDel="00000000" w:rsidR="00000000" w:rsidRPr="00000000">
        <w:rPr>
          <w:sz w:val="24"/>
          <w:szCs w:val="24"/>
          <w:rtl w:val="0"/>
        </w:rPr>
        <w:t xml:space="preserve">Socio‑legal research shows that:</w:t>
      </w:r>
    </w:p>
    <w:p w:rsidR="00000000" w:rsidDel="00000000" w:rsidP="00000000" w:rsidRDefault="00000000" w:rsidRPr="00000000" w14:paraId="00000061">
      <w:pPr>
        <w:numPr>
          <w:ilvl w:val="0"/>
          <w:numId w:val="5"/>
        </w:numPr>
        <w:spacing w:after="0" w:afterAutospacing="0" w:before="240" w:lineRule="auto"/>
        <w:ind w:left="720" w:hanging="360"/>
        <w:rPr>
          <w:sz w:val="24"/>
          <w:szCs w:val="24"/>
        </w:rPr>
      </w:pPr>
      <w:r w:rsidDel="00000000" w:rsidR="00000000" w:rsidRPr="00000000">
        <w:rPr>
          <w:sz w:val="24"/>
          <w:szCs w:val="24"/>
          <w:rtl w:val="0"/>
        </w:rPr>
        <w:t xml:space="preserve">Minoritised complainants face structural barriers in accessing justice;</w:t>
      </w:r>
    </w:p>
    <w:p w:rsidR="00000000" w:rsidDel="00000000" w:rsidP="00000000" w:rsidRDefault="00000000" w:rsidRPr="00000000" w14:paraId="00000062">
      <w:pPr>
        <w:numPr>
          <w:ilvl w:val="0"/>
          <w:numId w:val="5"/>
        </w:numPr>
        <w:spacing w:after="0" w:afterAutospacing="0" w:before="0" w:beforeAutospacing="0" w:lineRule="auto"/>
        <w:ind w:left="720" w:hanging="360"/>
        <w:rPr>
          <w:sz w:val="24"/>
          <w:szCs w:val="24"/>
        </w:rPr>
      </w:pPr>
      <w:r w:rsidDel="00000000" w:rsidR="00000000" w:rsidRPr="00000000">
        <w:rPr>
          <w:sz w:val="24"/>
          <w:szCs w:val="24"/>
          <w:rtl w:val="0"/>
        </w:rPr>
        <w:t xml:space="preserve">Their concerns are more likely to be dismissed on procedural grounds;</w:t>
      </w:r>
    </w:p>
    <w:p w:rsidR="00000000" w:rsidDel="00000000" w:rsidP="00000000" w:rsidRDefault="00000000" w:rsidRPr="00000000" w14:paraId="00000063">
      <w:pPr>
        <w:numPr>
          <w:ilvl w:val="0"/>
          <w:numId w:val="5"/>
        </w:numPr>
        <w:spacing w:after="0" w:afterAutospacing="0" w:before="0" w:beforeAutospacing="0" w:lineRule="auto"/>
        <w:ind w:left="720" w:hanging="360"/>
        <w:rPr>
          <w:sz w:val="24"/>
          <w:szCs w:val="24"/>
        </w:rPr>
      </w:pPr>
      <w:r w:rsidDel="00000000" w:rsidR="00000000" w:rsidRPr="00000000">
        <w:rPr>
          <w:sz w:val="24"/>
          <w:szCs w:val="24"/>
          <w:rtl w:val="0"/>
        </w:rPr>
        <w:t xml:space="preserve">Regulators often over‑rely on institutional assurances from established firms;</w:t>
      </w:r>
    </w:p>
    <w:p w:rsidR="00000000" w:rsidDel="00000000" w:rsidP="00000000" w:rsidRDefault="00000000" w:rsidRPr="00000000" w14:paraId="00000064">
      <w:pPr>
        <w:numPr>
          <w:ilvl w:val="0"/>
          <w:numId w:val="5"/>
        </w:numPr>
        <w:spacing w:after="240" w:before="0" w:beforeAutospacing="0" w:lineRule="auto"/>
        <w:ind w:left="720" w:hanging="360"/>
        <w:rPr>
          <w:sz w:val="24"/>
          <w:szCs w:val="24"/>
        </w:rPr>
      </w:pPr>
      <w:r w:rsidDel="00000000" w:rsidR="00000000" w:rsidRPr="00000000">
        <w:rPr>
          <w:sz w:val="24"/>
          <w:szCs w:val="24"/>
          <w:rtl w:val="0"/>
        </w:rPr>
        <w:t xml:space="preserve">Procedural technicalities disproportionately disadvantage those without formal representation.[7]</w:t>
      </w:r>
    </w:p>
    <w:p w:rsidR="00000000" w:rsidDel="00000000" w:rsidP="00000000" w:rsidRDefault="00000000" w:rsidRPr="00000000" w14:paraId="00000065">
      <w:pPr>
        <w:spacing w:after="240" w:before="240" w:lineRule="auto"/>
        <w:rPr>
          <w:sz w:val="24"/>
          <w:szCs w:val="24"/>
        </w:rPr>
      </w:pPr>
      <w:r w:rsidDel="00000000" w:rsidR="00000000" w:rsidRPr="00000000">
        <w:rPr>
          <w:sz w:val="24"/>
          <w:szCs w:val="24"/>
          <w:rtl w:val="0"/>
        </w:rPr>
        <w:t xml:space="preserve">In this case:</w:t>
      </w:r>
    </w:p>
    <w:p w:rsidR="00000000" w:rsidDel="00000000" w:rsidP="00000000" w:rsidRDefault="00000000" w:rsidRPr="00000000" w14:paraId="00000066">
      <w:pPr>
        <w:numPr>
          <w:ilvl w:val="0"/>
          <w:numId w:val="9"/>
        </w:numPr>
        <w:spacing w:after="0" w:afterAutospacing="0" w:before="240" w:lineRule="auto"/>
        <w:ind w:left="720" w:hanging="360"/>
        <w:rPr>
          <w:sz w:val="24"/>
          <w:szCs w:val="24"/>
        </w:rPr>
      </w:pPr>
      <w:r w:rsidDel="00000000" w:rsidR="00000000" w:rsidRPr="00000000">
        <w:rPr>
          <w:sz w:val="24"/>
          <w:szCs w:val="24"/>
          <w:rtl w:val="0"/>
        </w:rPr>
        <w:t xml:space="preserve">A Black paralegal advocate’s rights of audience were challenged;</w:t>
      </w:r>
    </w:p>
    <w:p w:rsidR="00000000" w:rsidDel="00000000" w:rsidP="00000000" w:rsidRDefault="00000000" w:rsidRPr="00000000" w14:paraId="00000067">
      <w:pPr>
        <w:numPr>
          <w:ilvl w:val="0"/>
          <w:numId w:val="9"/>
        </w:numPr>
        <w:spacing w:after="0" w:afterAutospacing="0" w:before="0" w:beforeAutospacing="0" w:lineRule="auto"/>
        <w:ind w:left="720" w:hanging="360"/>
        <w:rPr>
          <w:sz w:val="24"/>
          <w:szCs w:val="24"/>
        </w:rPr>
      </w:pPr>
      <w:r w:rsidDel="00000000" w:rsidR="00000000" w:rsidRPr="00000000">
        <w:rPr>
          <w:sz w:val="24"/>
          <w:szCs w:val="24"/>
          <w:rtl w:val="0"/>
        </w:rPr>
        <w:t xml:space="preserve">Only “limited” rights were granted “for this hearing only” (Transcript, p.4);</w:t>
      </w:r>
    </w:p>
    <w:p w:rsidR="00000000" w:rsidDel="00000000" w:rsidP="00000000" w:rsidRDefault="00000000" w:rsidRPr="00000000" w14:paraId="00000068">
      <w:pPr>
        <w:numPr>
          <w:ilvl w:val="0"/>
          <w:numId w:val="9"/>
        </w:numPr>
        <w:spacing w:after="0" w:afterAutospacing="0" w:before="0" w:beforeAutospacing="0" w:lineRule="auto"/>
        <w:ind w:left="720" w:hanging="360"/>
        <w:rPr>
          <w:sz w:val="24"/>
          <w:szCs w:val="24"/>
        </w:rPr>
      </w:pPr>
      <w:r w:rsidDel="00000000" w:rsidR="00000000" w:rsidRPr="00000000">
        <w:rPr>
          <w:sz w:val="24"/>
          <w:szCs w:val="24"/>
          <w:rtl w:val="0"/>
        </w:rPr>
        <w:t xml:space="preserve">The court refused to reach the substance due to CPR technicalities;</w:t>
      </w:r>
    </w:p>
    <w:p w:rsidR="00000000" w:rsidDel="00000000" w:rsidP="00000000" w:rsidRDefault="00000000" w:rsidRPr="00000000" w14:paraId="00000069">
      <w:pPr>
        <w:numPr>
          <w:ilvl w:val="0"/>
          <w:numId w:val="9"/>
        </w:numPr>
        <w:spacing w:after="0" w:afterAutospacing="0" w:before="0" w:beforeAutospacing="0" w:lineRule="auto"/>
        <w:ind w:left="720" w:hanging="360"/>
        <w:rPr>
          <w:sz w:val="24"/>
          <w:szCs w:val="24"/>
        </w:rPr>
      </w:pPr>
      <w:r w:rsidDel="00000000" w:rsidR="00000000" w:rsidRPr="00000000">
        <w:rPr>
          <w:sz w:val="24"/>
          <w:szCs w:val="24"/>
          <w:rtl w:val="0"/>
        </w:rPr>
        <w:t xml:space="preserve">The SRA relied on the existence of court proceedings while ignoring the transcript;</w:t>
      </w:r>
    </w:p>
    <w:p w:rsidR="00000000" w:rsidDel="00000000" w:rsidP="00000000" w:rsidRDefault="00000000" w:rsidRPr="00000000" w14:paraId="0000006A">
      <w:pPr>
        <w:numPr>
          <w:ilvl w:val="0"/>
          <w:numId w:val="9"/>
        </w:numPr>
        <w:spacing w:after="240" w:before="0" w:beforeAutospacing="0" w:lineRule="auto"/>
        <w:ind w:left="720" w:hanging="360"/>
        <w:rPr>
          <w:sz w:val="24"/>
          <w:szCs w:val="24"/>
        </w:rPr>
      </w:pPr>
      <w:r w:rsidDel="00000000" w:rsidR="00000000" w:rsidRPr="00000000">
        <w:rPr>
          <w:sz w:val="24"/>
          <w:szCs w:val="24"/>
          <w:rtl w:val="0"/>
        </w:rPr>
        <w:t xml:space="preserve">A vulnerable homeowner faces eviction on untested assumptions.</w:t>
      </w:r>
    </w:p>
    <w:p w:rsidR="00000000" w:rsidDel="00000000" w:rsidP="00000000" w:rsidRDefault="00000000" w:rsidRPr="00000000" w14:paraId="0000006B">
      <w:pPr>
        <w:spacing w:after="240" w:before="240" w:lineRule="auto"/>
        <w:rPr>
          <w:sz w:val="24"/>
          <w:szCs w:val="24"/>
        </w:rPr>
      </w:pPr>
      <w:r w:rsidDel="00000000" w:rsidR="00000000" w:rsidRPr="00000000">
        <w:rPr>
          <w:sz w:val="24"/>
          <w:szCs w:val="24"/>
          <w:rtl w:val="0"/>
        </w:rPr>
        <w:t xml:space="preserve">This pattern creates a </w:t>
      </w:r>
      <w:r w:rsidDel="00000000" w:rsidR="00000000" w:rsidRPr="00000000">
        <w:rPr>
          <w:b w:val="1"/>
          <w:bCs w:val="1"/>
          <w:sz w:val="24"/>
          <w:szCs w:val="24"/>
          <w:rtl w:val="0"/>
        </w:rPr>
        <w:t xml:space="preserve">racialised structural risk</w:t>
      </w:r>
      <w:r w:rsidDel="00000000" w:rsidR="00000000" w:rsidRPr="00000000">
        <w:rPr>
          <w:sz w:val="24"/>
          <w:szCs w:val="24"/>
          <w:rtl w:val="0"/>
        </w:rPr>
        <w:t xml:space="preserve">, even without explicit discriminatory intent.</w:t>
      </w:r>
    </w:p>
    <w:p w:rsidR="00000000" w:rsidDel="00000000" w:rsidP="00000000" w:rsidRDefault="00000000" w:rsidRPr="00000000" w14:paraId="0000006C">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D">
      <w:pPr>
        <w:pStyle w:val="Heading1"/>
        <w:keepNext w:val="0"/>
        <w:keepLines w:val="0"/>
        <w:spacing w:before="480" w:lineRule="auto"/>
        <w:rPr>
          <w:b w:val="1"/>
          <w:bCs w:val="1"/>
          <w:sz w:val="48"/>
          <w:szCs w:val="48"/>
        </w:rPr>
      </w:pPr>
      <w:bookmarkStart w:colFirst="0" w:colLast="0" w:name="_lwims1iv3ttk" w:id="18"/>
      <w:bookmarkEnd w:id="18"/>
      <w:r w:rsidDel="00000000" w:rsidR="00000000" w:rsidRPr="00000000">
        <w:rPr>
          <w:b w:val="1"/>
          <w:bCs w:val="1"/>
          <w:sz w:val="48"/>
          <w:szCs w:val="48"/>
          <w:rtl w:val="0"/>
        </w:rPr>
        <w:t xml:space="preserve">8. Conclusion: A Case Study in Regulatory Abdication</w:t>
      </w:r>
    </w:p>
    <w:p w:rsidR="00000000" w:rsidDel="00000000" w:rsidP="00000000" w:rsidRDefault="00000000" w:rsidRPr="00000000" w14:paraId="0000006E">
      <w:pPr>
        <w:spacing w:after="240" w:before="240" w:lineRule="auto"/>
        <w:rPr>
          <w:sz w:val="24"/>
          <w:szCs w:val="24"/>
        </w:rPr>
      </w:pPr>
      <w:r w:rsidDel="00000000" w:rsidR="00000000" w:rsidRPr="00000000">
        <w:rPr>
          <w:sz w:val="24"/>
          <w:szCs w:val="24"/>
          <w:rtl w:val="0"/>
        </w:rPr>
        <w:t xml:space="preserve">The SRA’s decision in Case RGC‑000175478 is doctrinally flawed on multiple grounds:</w:t>
      </w:r>
    </w:p>
    <w:p w:rsidR="00000000" w:rsidDel="00000000" w:rsidP="00000000" w:rsidRDefault="00000000" w:rsidRPr="00000000" w14:paraId="0000006F">
      <w:pPr>
        <w:numPr>
          <w:ilvl w:val="0"/>
          <w:numId w:val="7"/>
        </w:numPr>
        <w:spacing w:after="0" w:afterAutospacing="0" w:before="240" w:lineRule="auto"/>
        <w:ind w:left="720" w:hanging="360"/>
        <w:rPr>
          <w:sz w:val="24"/>
          <w:szCs w:val="24"/>
        </w:rPr>
      </w:pPr>
      <w:r w:rsidDel="00000000" w:rsidR="00000000" w:rsidRPr="00000000">
        <w:rPr>
          <w:b w:val="1"/>
          <w:bCs w:val="1"/>
          <w:sz w:val="24"/>
          <w:szCs w:val="24"/>
          <w:rtl w:val="0"/>
        </w:rPr>
        <w:t xml:space="preserve">Procedural unreliability</w:t>
      </w:r>
      <w:r w:rsidDel="00000000" w:rsidR="00000000" w:rsidRPr="00000000">
        <w:rPr>
          <w:sz w:val="24"/>
          <w:szCs w:val="24"/>
          <w:rtl w:val="0"/>
        </w:rPr>
        <w:t xml:space="preserve"> (chronological impossibility);</w:t>
      </w:r>
    </w:p>
    <w:p w:rsidR="00000000" w:rsidDel="00000000" w:rsidP="00000000" w:rsidRDefault="00000000" w:rsidRPr="00000000" w14:paraId="00000070">
      <w:pPr>
        <w:numPr>
          <w:ilvl w:val="0"/>
          <w:numId w:val="7"/>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Misapplication of regulatory rules</w:t>
      </w:r>
      <w:r w:rsidDel="00000000" w:rsidR="00000000" w:rsidRPr="00000000">
        <w:rPr>
          <w:sz w:val="24"/>
          <w:szCs w:val="24"/>
          <w:rtl w:val="0"/>
        </w:rPr>
        <w:t xml:space="preserve"> (para 1.4, Principles);</w:t>
      </w:r>
    </w:p>
    <w:p w:rsidR="00000000" w:rsidDel="00000000" w:rsidP="00000000" w:rsidRDefault="00000000" w:rsidRPr="00000000" w14:paraId="00000071">
      <w:pPr>
        <w:numPr>
          <w:ilvl w:val="0"/>
          <w:numId w:val="7"/>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Evidential mischaracterisation</w:t>
      </w:r>
      <w:r w:rsidDel="00000000" w:rsidR="00000000" w:rsidRPr="00000000">
        <w:rPr>
          <w:sz w:val="24"/>
          <w:szCs w:val="24"/>
          <w:rtl w:val="0"/>
        </w:rPr>
        <w:t xml:space="preserve"> (accepting “unawareness” as exculpatory);</w:t>
      </w:r>
    </w:p>
    <w:p w:rsidR="00000000" w:rsidDel="00000000" w:rsidP="00000000" w:rsidRDefault="00000000" w:rsidRPr="00000000" w14:paraId="00000072">
      <w:pPr>
        <w:numPr>
          <w:ilvl w:val="0"/>
          <w:numId w:val="7"/>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Jurisdictional misunderstanding</w:t>
      </w:r>
      <w:r w:rsidDel="00000000" w:rsidR="00000000" w:rsidRPr="00000000">
        <w:rPr>
          <w:sz w:val="24"/>
          <w:szCs w:val="24"/>
          <w:rtl w:val="0"/>
        </w:rPr>
        <w:t xml:space="preserve"> (standing as “for the courts”);</w:t>
      </w:r>
    </w:p>
    <w:p w:rsidR="00000000" w:rsidDel="00000000" w:rsidP="00000000" w:rsidRDefault="00000000" w:rsidRPr="00000000" w14:paraId="00000073">
      <w:pPr>
        <w:numPr>
          <w:ilvl w:val="0"/>
          <w:numId w:val="7"/>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Circular reasoning</w:t>
      </w:r>
      <w:r w:rsidDel="00000000" w:rsidR="00000000" w:rsidRPr="00000000">
        <w:rPr>
          <w:sz w:val="24"/>
          <w:szCs w:val="24"/>
          <w:rtl w:val="0"/>
        </w:rPr>
        <w:t xml:space="preserve"> (no evidence because no investigation);</w:t>
      </w:r>
    </w:p>
    <w:p w:rsidR="00000000" w:rsidDel="00000000" w:rsidP="00000000" w:rsidRDefault="00000000" w:rsidRPr="00000000" w14:paraId="00000074">
      <w:pPr>
        <w:numPr>
          <w:ilvl w:val="0"/>
          <w:numId w:val="7"/>
        </w:numPr>
        <w:spacing w:after="240" w:before="0" w:beforeAutospacing="0" w:lineRule="auto"/>
        <w:ind w:left="720" w:hanging="360"/>
        <w:rPr>
          <w:sz w:val="24"/>
          <w:szCs w:val="24"/>
        </w:rPr>
      </w:pPr>
      <w:r w:rsidDel="00000000" w:rsidR="00000000" w:rsidRPr="00000000">
        <w:rPr>
          <w:b w:val="1"/>
          <w:bCs w:val="1"/>
          <w:sz w:val="24"/>
          <w:szCs w:val="24"/>
          <w:rtl w:val="0"/>
        </w:rPr>
        <w:t xml:space="preserve">Equality‑law blind spots</w:t>
      </w:r>
      <w:r w:rsidDel="00000000" w:rsidR="00000000" w:rsidRPr="00000000">
        <w:rPr>
          <w:sz w:val="24"/>
          <w:szCs w:val="24"/>
          <w:rtl w:val="0"/>
        </w:rPr>
        <w:t xml:space="preserve"> (racialised risk).</w:t>
      </w:r>
    </w:p>
    <w:p w:rsidR="00000000" w:rsidDel="00000000" w:rsidP="00000000" w:rsidRDefault="00000000" w:rsidRPr="00000000" w14:paraId="00000075">
      <w:pPr>
        <w:spacing w:after="240" w:before="240" w:lineRule="auto"/>
        <w:rPr>
          <w:sz w:val="24"/>
          <w:szCs w:val="24"/>
        </w:rPr>
      </w:pPr>
      <w:r w:rsidDel="00000000" w:rsidR="00000000" w:rsidRPr="00000000">
        <w:rPr>
          <w:sz w:val="24"/>
          <w:szCs w:val="24"/>
          <w:rtl w:val="0"/>
        </w:rPr>
        <w:t xml:space="preserve">As a public document, the decision warrants academic scrutiny. It illustrates how regulatory discretion, when exercised without doctrinal rigour, can produce outcomes that undermine the rule of law, public trust, and equality before the law.</w:t>
      </w:r>
    </w:p>
    <w:p w:rsidR="00000000" w:rsidDel="00000000" w:rsidP="00000000" w:rsidRDefault="00000000" w:rsidRPr="00000000" w14:paraId="00000076">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7">
      <w:pPr>
        <w:pStyle w:val="Heading1"/>
        <w:keepNext w:val="0"/>
        <w:keepLines w:val="0"/>
        <w:spacing w:before="480" w:lineRule="auto"/>
        <w:rPr>
          <w:b w:val="1"/>
          <w:bCs w:val="1"/>
          <w:sz w:val="48"/>
          <w:szCs w:val="48"/>
        </w:rPr>
      </w:pPr>
      <w:bookmarkStart w:colFirst="0" w:colLast="0" w:name="_73jpcmmxru4h" w:id="19"/>
      <w:bookmarkEnd w:id="19"/>
      <w:r w:rsidDel="00000000" w:rsidR="00000000" w:rsidRPr="00000000">
        <w:rPr>
          <w:b w:val="1"/>
          <w:bCs w:val="1"/>
          <w:sz w:val="48"/>
          <w:szCs w:val="48"/>
          <w:rtl w:val="0"/>
        </w:rPr>
        <w:t xml:space="preserve">Footnotes</w:t>
      </w:r>
    </w:p>
    <w:p w:rsidR="00000000" w:rsidDel="00000000" w:rsidP="00000000" w:rsidRDefault="00000000" w:rsidRPr="00000000" w14:paraId="00000078">
      <w:pPr>
        <w:spacing w:after="240" w:before="240" w:lineRule="auto"/>
        <w:rPr>
          <w:sz w:val="24"/>
          <w:szCs w:val="24"/>
        </w:rPr>
      </w:pPr>
      <w:r w:rsidDel="00000000" w:rsidR="00000000" w:rsidRPr="00000000">
        <w:rPr>
          <w:sz w:val="24"/>
          <w:szCs w:val="24"/>
          <w:rtl w:val="0"/>
        </w:rPr>
        <w:t xml:space="preserve">[1] </w:t>
      </w:r>
      <w:r w:rsidDel="00000000" w:rsidR="00000000" w:rsidRPr="00000000">
        <w:rPr>
          <w:i w:val="1"/>
          <w:iCs w:val="1"/>
          <w:sz w:val="24"/>
          <w:szCs w:val="24"/>
          <w:rtl w:val="0"/>
        </w:rPr>
        <w:t xml:space="preserve">Associated Provincial Picture Houses Ltd v Wednesbury Corporation</w:t>
      </w:r>
      <w:r w:rsidDel="00000000" w:rsidR="00000000" w:rsidRPr="00000000">
        <w:rPr>
          <w:sz w:val="24"/>
          <w:szCs w:val="24"/>
          <w:rtl w:val="0"/>
        </w:rPr>
        <w:t xml:space="preserve"> [1948] 1 KB 223.</w:t>
        <w:br w:type="textWrapping"/>
        <w:t xml:space="preserve"> [2] SRA Code of Conduct for Solicitors, RELs and RFLs (2019), para 1.4.</w:t>
        <w:br w:type="textWrapping"/>
        <w:t xml:space="preserve"> [3] SRA Principles (2019), Principles 1, 2, 5.</w:t>
        <w:br w:type="textWrapping"/>
        <w:t xml:space="preserve"> [4] </w:t>
      </w:r>
      <w:r w:rsidDel="00000000" w:rsidR="00000000" w:rsidRPr="00000000">
        <w:rPr>
          <w:i w:val="1"/>
          <w:iCs w:val="1"/>
          <w:sz w:val="24"/>
          <w:szCs w:val="24"/>
          <w:rtl w:val="0"/>
        </w:rPr>
        <w:t xml:space="preserve">Bolton v Law Society</w:t>
      </w:r>
      <w:r w:rsidDel="00000000" w:rsidR="00000000" w:rsidRPr="00000000">
        <w:rPr>
          <w:sz w:val="24"/>
          <w:szCs w:val="24"/>
          <w:rtl w:val="0"/>
        </w:rPr>
        <w:t xml:space="preserve"> [1994] 1 WLR 512 (CA).</w:t>
        <w:br w:type="textWrapping"/>
        <w:t xml:space="preserve"> [5] SRA Enforcement Strategy (2018), Assessment Threshold Test.</w:t>
        <w:br w:type="textWrapping"/>
        <w:t xml:space="preserve"> [6] Equality Act 2010, s.149.</w:t>
        <w:br w:type="textWrapping"/>
        <w:t xml:space="preserve"> [7] See e.g. Maclean &amp; Evetts, </w:t>
      </w:r>
      <w:r w:rsidDel="00000000" w:rsidR="00000000" w:rsidRPr="00000000">
        <w:rPr>
          <w:i w:val="1"/>
          <w:iCs w:val="1"/>
          <w:sz w:val="24"/>
          <w:szCs w:val="24"/>
          <w:rtl w:val="0"/>
        </w:rPr>
        <w:t xml:space="preserve">Professionalism, Regulation and Accountability</w:t>
      </w:r>
      <w:r w:rsidDel="00000000" w:rsidR="00000000" w:rsidRPr="00000000">
        <w:rPr>
          <w:sz w:val="24"/>
          <w:szCs w:val="24"/>
          <w:rtl w:val="0"/>
        </w:rPr>
        <w:t xml:space="preserve"> (2014); Bridges, </w:t>
      </w:r>
      <w:r w:rsidDel="00000000" w:rsidR="00000000" w:rsidRPr="00000000">
        <w:rPr>
          <w:i w:val="1"/>
          <w:iCs w:val="1"/>
          <w:sz w:val="24"/>
          <w:szCs w:val="24"/>
          <w:rtl w:val="0"/>
        </w:rPr>
        <w:t xml:space="preserve">Race, Regulation and the State</w:t>
      </w:r>
      <w:r w:rsidDel="00000000" w:rsidR="00000000" w:rsidRPr="00000000">
        <w:rPr>
          <w:sz w:val="24"/>
          <w:szCs w:val="24"/>
          <w:rtl w:val="0"/>
        </w:rPr>
        <w:t xml:space="preserve"> (2020).</w:t>
      </w:r>
    </w:p>
    <w:p w:rsidR="00000000" w:rsidDel="00000000" w:rsidP="00000000" w:rsidRDefault="00000000" w:rsidRPr="00000000" w14:paraId="00000079">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A">
      <w:pPr>
        <w:spacing w:after="240" w:before="240" w:lineRule="auto"/>
        <w:rPr>
          <w:sz w:val="24"/>
          <w:szCs w:val="24"/>
        </w:rPr>
      </w:pPr>
      <w:r w:rsidDel="00000000" w:rsidR="00000000" w:rsidRPr="00000000">
        <w:rPr>
          <w:sz w:val="24"/>
          <w:szCs w:val="24"/>
          <w:rtl w:val="0"/>
        </w:rPr>
        <w:t xml:space="preserve">.</w:t>
      </w:r>
    </w:p>
    <w:p w:rsidR="00000000" w:rsidDel="00000000" w:rsidP="00000000" w:rsidRDefault="00000000" w:rsidRPr="00000000" w14:paraId="0000007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